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77" w:rsidRPr="00921A27" w:rsidRDefault="00164CAA" w:rsidP="00921A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sz w:val="32"/>
          <w:szCs w:val="32"/>
          <w:lang w:eastAsia="ru-RU"/>
        </w:rPr>
        <w:t xml:space="preserve"> </w:t>
      </w:r>
    </w:p>
    <w:p w:rsidR="00164CAA" w:rsidRDefault="00164CAA" w:rsidP="0016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</w:pPr>
      <w:r w:rsidRPr="00164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Информация по результатам внешн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их</w:t>
      </w:r>
      <w:r w:rsidRPr="00164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 провер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о</w:t>
      </w:r>
      <w:r w:rsidRPr="00164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к годов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ых</w:t>
      </w:r>
      <w:r w:rsidRPr="00164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 отчет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ов</w:t>
      </w:r>
      <w:r w:rsidRPr="00164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 об исполнении бюджета муниципальных образований </w:t>
      </w:r>
      <w:proofErr w:type="spellStart"/>
      <w:r w:rsidRPr="00164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Катангского</w:t>
      </w:r>
      <w:proofErr w:type="spellEnd"/>
      <w:r w:rsidRPr="00164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 района за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20</w:t>
      </w:r>
      <w:r w:rsidRPr="00164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 год.</w:t>
      </w:r>
    </w:p>
    <w:p w:rsidR="00164CAA" w:rsidRDefault="00164CAA" w:rsidP="0016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</w:pPr>
    </w:p>
    <w:p w:rsidR="002903C8" w:rsidRDefault="002903C8" w:rsidP="00290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Муниципальное образование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Катангский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 район»</w:t>
      </w:r>
    </w:p>
    <w:p w:rsidR="002903C8" w:rsidRDefault="002903C8" w:rsidP="00290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</w:pPr>
    </w:p>
    <w:p w:rsidR="002903C8" w:rsidRPr="002903C8" w:rsidRDefault="002903C8" w:rsidP="002903C8">
      <w:pPr>
        <w:spacing w:after="0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об исполнении бюджета муниципального образования  «</w:t>
      </w:r>
      <w:proofErr w:type="spellStart"/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2020  год Финансовым управлением представлен в Контрольно-счетную палату  муниципального образования «</w:t>
      </w:r>
      <w:proofErr w:type="spellStart"/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(далее по тексту КСП) 31.03.2021 года, что соответствует пункту 3 статьи 264.4 БК РФ и пункту 2 статьи 30 Положения «О бюджетном процессе в  муниципальном образовании «</w:t>
      </w:r>
      <w:proofErr w:type="spellStart"/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а именно в срок до 01 апреля 2021  года.</w:t>
      </w:r>
      <w:proofErr w:type="gramEnd"/>
    </w:p>
    <w:p w:rsidR="002903C8" w:rsidRDefault="002903C8" w:rsidP="002903C8">
      <w:pPr>
        <w:ind w:right="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    </w:t>
      </w:r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Правовой основой исполнения бюджета  муниципального образования «</w:t>
      </w:r>
      <w:proofErr w:type="spellStart"/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(далее - бюджет района) на 2020 год является Решение Думы  от 17.12.2019 года № 4/17 «О бюджете муниципального образования «</w:t>
      </w:r>
      <w:proofErr w:type="spellStart"/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2020 год и на плановый период 2021 и 2022 годов».     Бюджет утвержден до начала очередного финансового года в соответствии с требованиями бюджетного законодательства. Основные характеристики утвержденного бюджета соответствуют требованиям ст. 184.1. БК РФ. В первоначальный план основных показателей бюджета района  4 раза вносились изменения решениями Думы  муниципального образования «</w:t>
      </w:r>
      <w:proofErr w:type="spellStart"/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последние изменения внесены решением районной Думы №5/18 от 18.12.2020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операций по исполнению бюджета района в текущем финансовом году проведено в соответствии с требованиями статьи 242 БК РФ, Положения о бюджетном процессе в муниципальном образовании «</w:t>
      </w:r>
      <w:proofErr w:type="spellStart"/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 </w:t>
      </w:r>
      <w:proofErr w:type="gramStart"/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внешней проверки и итогов проведённых контрольных мероприятий в течение отчетного периода, КСП района установлено, что в соответствии ст.219.1 БК РФ Финансовым управлением, главными администраторами бюджетных средств в целом, были соблюдены процедуры санкционирования расходов на основании утвержденных бюджетных росписей, своевременно доведенных уведомлений о бюджетных ассигнованиях и лимитах бюджетных обязательств до получателей</w:t>
      </w:r>
      <w:r w:rsidRPr="0029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Pr="0029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2903C8" w:rsidRPr="002903C8" w:rsidRDefault="002903C8" w:rsidP="002903C8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 путем суммирования одноименных показателей и исключения </w:t>
      </w:r>
      <w:proofErr w:type="gramStart"/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Инструкцией № 191н порядком взаимосвязанных показателей по позициям консолидируемых форм.</w:t>
      </w:r>
    </w:p>
    <w:p w:rsidR="002903C8" w:rsidRDefault="002903C8" w:rsidP="002903C8">
      <w:pPr>
        <w:autoSpaceDE w:val="0"/>
        <w:autoSpaceDN w:val="0"/>
        <w:adjustRightInd w:val="0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3C8" w:rsidRPr="002903C8" w:rsidRDefault="002903C8" w:rsidP="002903C8">
      <w:pPr>
        <w:autoSpaceDE w:val="0"/>
        <w:autoSpaceDN w:val="0"/>
        <w:adjustRightInd w:val="0"/>
        <w:spacing w:after="0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внешней проверки анализ и оценка осуществлялась в отношении следующих форм бюджетной отчетности </w:t>
      </w:r>
      <w:r w:rsidRPr="002903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(Инструкция 191н)</w:t>
      </w:r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03C8" w:rsidRPr="002903C8" w:rsidRDefault="002903C8" w:rsidP="002903C8">
      <w:pPr>
        <w:autoSpaceDE w:val="0"/>
        <w:autoSpaceDN w:val="0"/>
        <w:adjustRightInd w:val="0"/>
        <w:spacing w:after="0"/>
        <w:ind w:right="4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Баланс по поступлениям и выбытиям бюджетных средств (ф. 0503140);</w:t>
      </w:r>
    </w:p>
    <w:p w:rsidR="002903C8" w:rsidRPr="002903C8" w:rsidRDefault="002903C8" w:rsidP="002903C8">
      <w:pPr>
        <w:autoSpaceDE w:val="0"/>
        <w:autoSpaceDN w:val="0"/>
        <w:adjustRightInd w:val="0"/>
        <w:spacing w:after="0"/>
        <w:ind w:right="4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Баланс исполнения бюджета (ф. 0503120);</w:t>
      </w:r>
    </w:p>
    <w:p w:rsidR="002903C8" w:rsidRPr="002903C8" w:rsidRDefault="002903C8" w:rsidP="002903C8">
      <w:pPr>
        <w:autoSpaceDE w:val="0"/>
        <w:autoSpaceDN w:val="0"/>
        <w:adjustRightInd w:val="0"/>
        <w:spacing w:after="0"/>
        <w:ind w:right="4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Справка по консолидируемым расчетам (ф. 0503125);</w:t>
      </w:r>
    </w:p>
    <w:p w:rsidR="002903C8" w:rsidRPr="002903C8" w:rsidRDefault="002903C8" w:rsidP="002903C8">
      <w:pPr>
        <w:autoSpaceDE w:val="0"/>
        <w:autoSpaceDN w:val="0"/>
        <w:adjustRightInd w:val="0"/>
        <w:spacing w:after="0"/>
        <w:ind w:right="4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Отчет о бюджетных обязательствах (ф. 0503128);</w:t>
      </w:r>
    </w:p>
    <w:p w:rsidR="002903C8" w:rsidRPr="002903C8" w:rsidRDefault="002903C8" w:rsidP="002903C8">
      <w:pPr>
        <w:autoSpaceDE w:val="0"/>
        <w:autoSpaceDN w:val="0"/>
        <w:adjustRightInd w:val="0"/>
        <w:spacing w:after="0"/>
        <w:ind w:right="4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Справка по заключению счетов бюджетного учета отчетного финансового года (ф. 0503110);</w:t>
      </w:r>
    </w:p>
    <w:p w:rsidR="002903C8" w:rsidRPr="002903C8" w:rsidRDefault="002903C8" w:rsidP="002903C8">
      <w:pPr>
        <w:autoSpaceDE w:val="0"/>
        <w:autoSpaceDN w:val="0"/>
        <w:adjustRightInd w:val="0"/>
        <w:spacing w:after="0"/>
        <w:ind w:right="4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Отчет о кассовом поступлении и выбытии бюджетных средств (ф. 0503124);</w:t>
      </w:r>
    </w:p>
    <w:p w:rsidR="002903C8" w:rsidRPr="002903C8" w:rsidRDefault="002903C8" w:rsidP="002903C8">
      <w:pPr>
        <w:autoSpaceDE w:val="0"/>
        <w:autoSpaceDN w:val="0"/>
        <w:adjustRightInd w:val="0"/>
        <w:spacing w:after="0"/>
        <w:ind w:right="4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Отчет об исполнении бюджета (ф. 0503117);</w:t>
      </w:r>
    </w:p>
    <w:p w:rsidR="002903C8" w:rsidRPr="002903C8" w:rsidRDefault="002903C8" w:rsidP="002903C8">
      <w:pPr>
        <w:autoSpaceDE w:val="0"/>
        <w:autoSpaceDN w:val="0"/>
        <w:adjustRightInd w:val="0"/>
        <w:spacing w:after="0"/>
        <w:ind w:right="4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Отчет о движении денежных средств (ф. 0503123);</w:t>
      </w:r>
    </w:p>
    <w:p w:rsidR="002903C8" w:rsidRPr="002903C8" w:rsidRDefault="002903C8" w:rsidP="002903C8">
      <w:pPr>
        <w:autoSpaceDE w:val="0"/>
        <w:autoSpaceDN w:val="0"/>
        <w:adjustRightInd w:val="0"/>
        <w:spacing w:after="0"/>
        <w:ind w:right="4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Отчет о финансовых результатах деятельности (ф. 0503121);</w:t>
      </w:r>
    </w:p>
    <w:p w:rsidR="002903C8" w:rsidRPr="002903C8" w:rsidRDefault="002903C8" w:rsidP="002903C8">
      <w:pPr>
        <w:autoSpaceDE w:val="0"/>
        <w:autoSpaceDN w:val="0"/>
        <w:adjustRightInd w:val="0"/>
        <w:spacing w:after="0"/>
        <w:ind w:right="4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Пояснительная записка (ф. 0503160).</w:t>
      </w:r>
    </w:p>
    <w:p w:rsidR="002903C8" w:rsidRPr="002903C8" w:rsidRDefault="002903C8" w:rsidP="002903C8">
      <w:pPr>
        <w:autoSpaceDE w:val="0"/>
        <w:autoSpaceDN w:val="0"/>
        <w:adjustRightInd w:val="0"/>
        <w:spacing w:after="0"/>
        <w:ind w:right="4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90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(</w:t>
      </w:r>
      <w:r w:rsidRPr="002903C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Инструкция 33н): </w:t>
      </w:r>
    </w:p>
    <w:p w:rsidR="002903C8" w:rsidRPr="002903C8" w:rsidRDefault="002903C8" w:rsidP="002903C8">
      <w:pPr>
        <w:shd w:val="clear" w:color="auto" w:fill="FFFFFF"/>
        <w:spacing w:after="0"/>
        <w:ind w:right="4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903C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</w:t>
      </w:r>
      <w:proofErr w:type="gramStart"/>
      <w:r w:rsidRPr="002903C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Баланс  муниципального учреждения (</w:t>
      </w:r>
      <w:hyperlink r:id="rId6" w:anchor="/document/99/902271090/XA00M462MG/" w:tgtFrame="_self" w:history="1">
        <w:r w:rsidRPr="002903C8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eastAsia="ru-RU"/>
          </w:rPr>
          <w:t>ф.0503730</w:t>
        </w:r>
      </w:hyperlink>
      <w:r w:rsidRPr="002903C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);</w:t>
      </w:r>
      <w:r w:rsidRPr="002903C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 xml:space="preserve">  Справка по консолидируемым расчетам учреждения (</w:t>
      </w:r>
      <w:hyperlink r:id="rId7" w:anchor="/document/99/902271090/XA00M9U2ND/" w:tgtFrame="_self" w:history="1">
        <w:r w:rsidRPr="002903C8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eastAsia="ru-RU"/>
          </w:rPr>
          <w:t>ф.0503725</w:t>
        </w:r>
      </w:hyperlink>
      <w:r w:rsidRPr="002903C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);</w:t>
      </w:r>
      <w:r w:rsidRPr="002903C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 xml:space="preserve">  Справка по заключению учреждением счетов бухгалтерского учета отчетного финансового года (</w:t>
      </w:r>
      <w:hyperlink r:id="rId8" w:anchor="/document/99/902271090/XA00M8Q2N7/" w:tgtFrame="_self" w:history="1">
        <w:r w:rsidRPr="002903C8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eastAsia="ru-RU"/>
          </w:rPr>
          <w:t>ф.0503710</w:t>
        </w:r>
      </w:hyperlink>
      <w:r w:rsidRPr="002903C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);</w:t>
      </w:r>
      <w:r w:rsidRPr="002903C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 xml:space="preserve">  Отчет об исполнении учреждением плана его финансово-хозяйственной деятельности (</w:t>
      </w:r>
      <w:hyperlink r:id="rId9" w:anchor="/document/99/902271090/XA00M722MT/" w:tgtFrame="_self" w:history="1">
        <w:r w:rsidRPr="002903C8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eastAsia="ru-RU"/>
          </w:rPr>
          <w:t>ф.0503737</w:t>
        </w:r>
      </w:hyperlink>
      <w:r w:rsidRPr="002903C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);</w:t>
      </w:r>
      <w:r w:rsidRPr="002903C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 xml:space="preserve">  Отчет об обязательствах учреждения (</w:t>
      </w:r>
      <w:hyperlink r:id="rId10" w:anchor="/document/99/902271090/XA00M9A2N9/" w:tgtFrame="_self" w:history="1">
        <w:r w:rsidRPr="002903C8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eastAsia="ru-RU"/>
          </w:rPr>
          <w:t>ф.0503738</w:t>
        </w:r>
      </w:hyperlink>
      <w:r w:rsidRPr="002903C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);</w:t>
      </w:r>
      <w:r w:rsidRPr="002903C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 xml:space="preserve">  Отчет о финансовых результатах деятельности учреждения </w:t>
      </w:r>
      <w:hyperlink r:id="rId11" w:anchor="/document/99/902271090/XA00M9C2NA/" w:tgtFrame="_self" w:history="1">
        <w:r w:rsidRPr="002903C8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eastAsia="ru-RU"/>
          </w:rPr>
          <w:t>(ф.0503721)</w:t>
        </w:r>
      </w:hyperlink>
      <w:r w:rsidRPr="002903C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;</w:t>
      </w:r>
      <w:r w:rsidRPr="002903C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 xml:space="preserve">  Отчет о движении денежных средств учреждения </w:t>
      </w:r>
      <w:hyperlink r:id="rId12" w:anchor="/document/99/902271090/XA00MCC2N1/" w:tgtFrame="_self" w:history="1">
        <w:r w:rsidRPr="002903C8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eastAsia="ru-RU"/>
          </w:rPr>
          <w:t>(ф.0503723)</w:t>
        </w:r>
      </w:hyperlink>
      <w:r w:rsidRPr="002903C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;</w:t>
      </w:r>
      <w:proofErr w:type="gramEnd"/>
      <w:r w:rsidRPr="002903C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 xml:space="preserve">  Пояснительная записка к Балансу учреждения (</w:t>
      </w:r>
      <w:hyperlink r:id="rId13" w:anchor="/document/99/902271090/XA00M9S2NC/" w:tgtFrame="_self" w:history="1">
        <w:r w:rsidRPr="002903C8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eastAsia="ru-RU"/>
          </w:rPr>
          <w:t>ф.0503760</w:t>
        </w:r>
      </w:hyperlink>
      <w:r w:rsidRPr="002903C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);</w:t>
      </w:r>
    </w:p>
    <w:p w:rsidR="002903C8" w:rsidRPr="002903C8" w:rsidRDefault="002903C8" w:rsidP="002903C8">
      <w:pPr>
        <w:widowControl w:val="0"/>
        <w:spacing w:after="0"/>
        <w:ind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3C8">
        <w:rPr>
          <w:rFonts w:ascii="Times New Roman" w:eastAsia="Times New Roman" w:hAnsi="Times New Roman" w:cs="Times New Roman"/>
          <w:sz w:val="28"/>
          <w:szCs w:val="28"/>
        </w:rPr>
        <w:t xml:space="preserve">       Представленная бюджетная отчетность </w:t>
      </w:r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и отчетность бюджетных  учреждений</w:t>
      </w:r>
      <w:r w:rsidRPr="002903C8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образования «</w:t>
      </w:r>
      <w:proofErr w:type="spellStart"/>
      <w:r w:rsidRPr="002903C8">
        <w:rPr>
          <w:rFonts w:ascii="Times New Roman" w:eastAsia="Times New Roman" w:hAnsi="Times New Roman" w:cs="Times New Roman"/>
          <w:sz w:val="28"/>
          <w:szCs w:val="28"/>
        </w:rPr>
        <w:t>Катангский</w:t>
      </w:r>
      <w:proofErr w:type="spellEnd"/>
      <w:r w:rsidRPr="002903C8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сформирована в соответствии с действующим законодательством, формы бюджетной (</w:t>
      </w:r>
      <w:proofErr w:type="gramStart"/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бухгалтерской) </w:t>
      </w:r>
      <w:proofErr w:type="gramEnd"/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 представлены в полном объеме.</w:t>
      </w:r>
      <w:r w:rsidRPr="002903C8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</w:t>
      </w:r>
      <w:r w:rsidRPr="00290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03C8" w:rsidRPr="002903C8" w:rsidRDefault="002903C8" w:rsidP="002903C8">
      <w:pPr>
        <w:widowControl w:val="0"/>
        <w:spacing w:after="0"/>
        <w:ind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3C8">
        <w:rPr>
          <w:rFonts w:ascii="Times New Roman" w:eastAsia="Times New Roman" w:hAnsi="Times New Roman" w:cs="Times New Roman"/>
          <w:sz w:val="28"/>
          <w:szCs w:val="28"/>
        </w:rPr>
        <w:t xml:space="preserve">      При проверке соответствия содержания представленных форм требованиям инструкции установлено следующее:</w:t>
      </w:r>
    </w:p>
    <w:p w:rsidR="002903C8" w:rsidRPr="002903C8" w:rsidRDefault="002903C8" w:rsidP="002903C8">
      <w:pPr>
        <w:widowControl w:val="0"/>
        <w:spacing w:after="0"/>
        <w:ind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3C8">
        <w:rPr>
          <w:rFonts w:ascii="Times New Roman" w:eastAsia="Times New Roman" w:hAnsi="Times New Roman" w:cs="Times New Roman"/>
          <w:spacing w:val="-60"/>
          <w:sz w:val="28"/>
          <w:szCs w:val="28"/>
        </w:rPr>
        <w:t xml:space="preserve">                                 </w:t>
      </w:r>
      <w:r w:rsidRPr="002903C8">
        <w:rPr>
          <w:rFonts w:ascii="Times New Roman" w:eastAsia="Times New Roman" w:hAnsi="Times New Roman" w:cs="Times New Roman"/>
          <w:sz w:val="28"/>
          <w:szCs w:val="28"/>
        </w:rPr>
        <w:t>Баланс исполнения бюджета МО «</w:t>
      </w:r>
      <w:proofErr w:type="spellStart"/>
      <w:r w:rsidRPr="002903C8">
        <w:rPr>
          <w:rFonts w:ascii="Times New Roman" w:eastAsia="Times New Roman" w:hAnsi="Times New Roman" w:cs="Times New Roman"/>
          <w:sz w:val="28"/>
          <w:szCs w:val="28"/>
        </w:rPr>
        <w:t>Катангский</w:t>
      </w:r>
      <w:proofErr w:type="spellEnd"/>
      <w:r w:rsidRPr="002903C8">
        <w:rPr>
          <w:rFonts w:ascii="Times New Roman" w:eastAsia="Times New Roman" w:hAnsi="Times New Roman" w:cs="Times New Roman"/>
          <w:sz w:val="28"/>
          <w:szCs w:val="28"/>
        </w:rPr>
        <w:t xml:space="preserve"> район» (ф.0503120) на начало года составлял 847 864,9  тыс. руб., на конец года – 976 185,7 тыс. </w:t>
      </w:r>
      <w:r w:rsidRPr="002903C8">
        <w:rPr>
          <w:rFonts w:ascii="Times New Roman" w:eastAsia="Times New Roman" w:hAnsi="Times New Roman" w:cs="Times New Roman"/>
          <w:spacing w:val="-4"/>
          <w:sz w:val="28"/>
          <w:szCs w:val="28"/>
        </w:rPr>
        <w:t>руб.</w:t>
      </w:r>
    </w:p>
    <w:p w:rsidR="002903C8" w:rsidRPr="002903C8" w:rsidRDefault="002903C8" w:rsidP="002903C8">
      <w:pPr>
        <w:widowControl w:val="0"/>
        <w:spacing w:after="0"/>
        <w:ind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3C8">
        <w:rPr>
          <w:rFonts w:ascii="Times New Roman" w:eastAsia="Times New Roman" w:hAnsi="Times New Roman" w:cs="Times New Roman"/>
          <w:sz w:val="28"/>
          <w:szCs w:val="28"/>
        </w:rPr>
        <w:t xml:space="preserve">      Стоимость нефинансовых активов (основных средств и материальных запасов) на начало 2020 года составляла 273 136,6 тыс. </w:t>
      </w:r>
      <w:r w:rsidRPr="002903C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руб., </w:t>
      </w:r>
      <w:r w:rsidRPr="002903C8">
        <w:rPr>
          <w:rFonts w:ascii="Times New Roman" w:eastAsia="Times New Roman" w:hAnsi="Times New Roman" w:cs="Times New Roman"/>
          <w:sz w:val="28"/>
          <w:szCs w:val="28"/>
        </w:rPr>
        <w:t>на конец года увеличилась на 38 769,7 тыс.  руб. и составила   311 906,3 тыс.</w:t>
      </w:r>
      <w:r w:rsidRPr="002903C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903C8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2903C8" w:rsidRPr="002903C8" w:rsidRDefault="002903C8" w:rsidP="002903C8">
      <w:pPr>
        <w:widowControl w:val="0"/>
        <w:spacing w:after="0"/>
        <w:ind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3C8">
        <w:rPr>
          <w:rFonts w:ascii="Times New Roman" w:eastAsia="Times New Roman" w:hAnsi="Times New Roman" w:cs="Times New Roman"/>
          <w:sz w:val="28"/>
          <w:szCs w:val="28"/>
        </w:rPr>
        <w:t xml:space="preserve">      Стоимость финансовых активов на начало 2020 года составила 574 728,3  тыс. руб., в том числе средства единого счета бюджета – 51 164,3  тыс. </w:t>
      </w:r>
      <w:r w:rsidRPr="002903C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руб. </w:t>
      </w:r>
      <w:r w:rsidRPr="002903C8">
        <w:rPr>
          <w:rFonts w:ascii="Times New Roman" w:eastAsia="Times New Roman" w:hAnsi="Times New Roman" w:cs="Times New Roman"/>
          <w:sz w:val="28"/>
          <w:szCs w:val="28"/>
        </w:rPr>
        <w:t xml:space="preserve">На конец года стоимость финансовых активов  составила 664 279,4  тыс. руб., в том числе средства единого счета бюджета – 50022,3 тыс. руб.  </w:t>
      </w:r>
    </w:p>
    <w:p w:rsidR="002903C8" w:rsidRPr="002903C8" w:rsidRDefault="002903C8" w:rsidP="002903C8">
      <w:pPr>
        <w:widowControl w:val="0"/>
        <w:spacing w:after="0"/>
        <w:ind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3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903C8">
        <w:rPr>
          <w:rFonts w:ascii="Times New Roman" w:eastAsia="Times New Roman" w:hAnsi="Times New Roman" w:cs="Times New Roman"/>
          <w:sz w:val="28"/>
          <w:szCs w:val="28"/>
        </w:rPr>
        <w:t>Отчет о финансовых результатах деятельности (ф.0503121) отражает суммы фактических доходов и расходов, а также как изменились активы и обязательства за год.</w:t>
      </w:r>
    </w:p>
    <w:p w:rsidR="002903C8" w:rsidRPr="002903C8" w:rsidRDefault="002903C8" w:rsidP="002903C8">
      <w:pPr>
        <w:widowControl w:val="0"/>
        <w:spacing w:after="0"/>
        <w:ind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3C8">
        <w:rPr>
          <w:rFonts w:ascii="Times New Roman" w:eastAsia="Times New Roman" w:hAnsi="Times New Roman" w:cs="Times New Roman"/>
          <w:sz w:val="28"/>
          <w:szCs w:val="28"/>
        </w:rPr>
        <w:t xml:space="preserve"> Чистое поступление основных средств составило 24 794,6 тыс. руб.,  чистое поступление материальных запасов составило 2 406,2 тыс. руб.</w:t>
      </w:r>
    </w:p>
    <w:p w:rsidR="002903C8" w:rsidRPr="002903C8" w:rsidRDefault="002903C8" w:rsidP="002903C8">
      <w:pPr>
        <w:spacing w:after="0"/>
        <w:ind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3C8">
        <w:rPr>
          <w:rFonts w:ascii="Times New Roman" w:eastAsia="Times New Roman" w:hAnsi="Times New Roman" w:cs="Times New Roman"/>
          <w:sz w:val="28"/>
          <w:szCs w:val="28"/>
        </w:rPr>
        <w:t xml:space="preserve">      Консолидированный отчет о движении денежных средств (форма 0503123) отражает сумму поступлений в бюджет поселения по видам доходов и выбытие со счета бюджета по кодам операций сектора государственного управления. </w:t>
      </w:r>
    </w:p>
    <w:p w:rsidR="002903C8" w:rsidRPr="002903C8" w:rsidRDefault="002903C8" w:rsidP="002903C8">
      <w:pPr>
        <w:widowControl w:val="0"/>
        <w:spacing w:after="0"/>
        <w:ind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3C8">
        <w:rPr>
          <w:rFonts w:ascii="Times New Roman" w:eastAsia="Times New Roman" w:hAnsi="Times New Roman" w:cs="Times New Roman"/>
          <w:sz w:val="28"/>
          <w:szCs w:val="28"/>
        </w:rPr>
        <w:t xml:space="preserve">      Пояснительная записка к годовому отчету (ф. 0503160) в соответствии с  п. 152  Инструкции 191н  содержит следующие формы: сведения об основных направлениях деятельности (Таблица №1), сведения об использовании текстовых статей закона  о бюджете (Таблица №3), сведения об особенностях ведения бюджетного учета (Таблица №4),  сведения о проведении инвентаризаций (Таблица № 6).  </w:t>
      </w:r>
      <w:proofErr w:type="gramStart"/>
      <w:r w:rsidRPr="002903C8">
        <w:rPr>
          <w:rFonts w:ascii="Times New Roman" w:eastAsia="Times New Roman" w:hAnsi="Times New Roman" w:cs="Times New Roman"/>
          <w:sz w:val="28"/>
          <w:szCs w:val="28"/>
        </w:rPr>
        <w:t>К пояснительной записке приобщены сведения об исполнении бюджета (ф.0503164), сведения об исполнении мероприятий в рамках целевых программ (ф.0503166), сведения о движении нефинансовых активов (ф.0503168), сведения о дебиторской и кредиторской задолженности (ф.0503169), сведения о муниципальном долге (ф.0503172), сведения о вложениях в объекты недвижимого имущества, объекты незавершенного строительства (ф.0503190).</w:t>
      </w:r>
      <w:proofErr w:type="gramEnd"/>
    </w:p>
    <w:p w:rsidR="002903C8" w:rsidRPr="002903C8" w:rsidRDefault="002903C8" w:rsidP="002903C8">
      <w:pPr>
        <w:widowControl w:val="0"/>
        <w:spacing w:after="0"/>
        <w:ind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3C8">
        <w:rPr>
          <w:rFonts w:ascii="Times New Roman" w:eastAsia="Times New Roman" w:hAnsi="Times New Roman" w:cs="Times New Roman"/>
          <w:sz w:val="28"/>
          <w:szCs w:val="28"/>
        </w:rPr>
        <w:t xml:space="preserve">       С 01.04.2020 года три казенных учреждения поменяли тип на </w:t>
      </w:r>
      <w:proofErr w:type="gramStart"/>
      <w:r w:rsidRPr="002903C8">
        <w:rPr>
          <w:rFonts w:ascii="Times New Roman" w:eastAsia="Times New Roman" w:hAnsi="Times New Roman" w:cs="Times New Roman"/>
          <w:sz w:val="28"/>
          <w:szCs w:val="28"/>
        </w:rPr>
        <w:t>бюджетное</w:t>
      </w:r>
      <w:proofErr w:type="gramEnd"/>
      <w:r w:rsidRPr="002903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баланса бюджетных учреждений (ф.0503730) </w:t>
      </w:r>
      <w:proofErr w:type="gramStart"/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составила  17 916,3 тыс. рублей. </w:t>
      </w:r>
      <w:r w:rsidRPr="002903C8">
        <w:rPr>
          <w:rFonts w:ascii="Times New Roman" w:eastAsia="Times New Roman" w:hAnsi="Times New Roman" w:cs="Times New Roman"/>
          <w:sz w:val="28"/>
          <w:szCs w:val="28"/>
        </w:rPr>
        <w:t xml:space="preserve">Стоимость нефинансовых активов (основных средств и материальных запасов) </w:t>
      </w:r>
      <w:proofErr w:type="gramStart"/>
      <w:r w:rsidRPr="002903C8">
        <w:rPr>
          <w:rFonts w:ascii="Times New Roman" w:eastAsia="Times New Roman" w:hAnsi="Times New Roman" w:cs="Times New Roman"/>
          <w:sz w:val="28"/>
          <w:szCs w:val="28"/>
        </w:rPr>
        <w:t>на конец</w:t>
      </w:r>
      <w:proofErr w:type="gramEnd"/>
      <w:r w:rsidRPr="002903C8">
        <w:rPr>
          <w:rFonts w:ascii="Times New Roman" w:eastAsia="Times New Roman" w:hAnsi="Times New Roman" w:cs="Times New Roman"/>
          <w:sz w:val="28"/>
          <w:szCs w:val="28"/>
        </w:rPr>
        <w:t xml:space="preserve"> 2020 года составила 9930,4 тыс. руб., стоимость финансовых активов 111452 рубля. Бюджетная отчетность бюджетных учреждений соответствует требованиям Инструкции 33н. </w:t>
      </w:r>
    </w:p>
    <w:p w:rsidR="002903C8" w:rsidRPr="002903C8" w:rsidRDefault="002903C8" w:rsidP="002903C8">
      <w:pPr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«О бюджете МО «</w:t>
      </w:r>
      <w:proofErr w:type="spellStart"/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2020 год и плановый период 2021 и 2022 годов» (с изменениями) утверждено 4 главных распорядителя бюджетных средств муниципального образования «</w:t>
      </w:r>
      <w:proofErr w:type="spellStart"/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1 главный администратор источников финансирования дефицита бюджета, 6 главных администраторов доходов бюджета. </w:t>
      </w:r>
    </w:p>
    <w:p w:rsidR="002903C8" w:rsidRPr="002903C8" w:rsidRDefault="002903C8" w:rsidP="002903C8">
      <w:pPr>
        <w:spacing w:after="0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Согласно приложению 9 к Решению о бюджете, установлено четыре главных распорядителя бюджетных средств, которые формируют бюджетную отчетность  в соответствии со статьей 158 БК РФ:</w:t>
      </w:r>
    </w:p>
    <w:p w:rsidR="002903C8" w:rsidRPr="002903C8" w:rsidRDefault="002903C8" w:rsidP="002903C8">
      <w:pPr>
        <w:numPr>
          <w:ilvl w:val="0"/>
          <w:numId w:val="1"/>
        </w:numPr>
        <w:spacing w:after="0" w:line="240" w:lineRule="auto"/>
        <w:ind w:right="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2903C8" w:rsidRPr="002903C8" w:rsidRDefault="002903C8" w:rsidP="002903C8">
      <w:pPr>
        <w:numPr>
          <w:ilvl w:val="0"/>
          <w:numId w:val="1"/>
        </w:numPr>
        <w:spacing w:after="0" w:line="240" w:lineRule="auto"/>
        <w:ind w:right="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муниципального образования «</w:t>
      </w:r>
      <w:proofErr w:type="spellStart"/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2903C8" w:rsidRPr="002903C8" w:rsidRDefault="002903C8" w:rsidP="002903C8">
      <w:pPr>
        <w:numPr>
          <w:ilvl w:val="0"/>
          <w:numId w:val="1"/>
        </w:numPr>
        <w:spacing w:after="0" w:line="240" w:lineRule="auto"/>
        <w:ind w:right="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отдел образования администрации муниципального образования «</w:t>
      </w:r>
      <w:proofErr w:type="spellStart"/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2903C8" w:rsidRPr="002903C8" w:rsidRDefault="002903C8" w:rsidP="002903C8">
      <w:pPr>
        <w:numPr>
          <w:ilvl w:val="0"/>
          <w:numId w:val="1"/>
        </w:numPr>
        <w:spacing w:after="0" w:line="240" w:lineRule="auto"/>
        <w:ind w:right="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Муниципальный отдел по развитию культуры, молодежной политике и спорту  администрации муниципального образования «</w:t>
      </w:r>
      <w:proofErr w:type="spellStart"/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2903C8" w:rsidRPr="002903C8" w:rsidRDefault="002903C8" w:rsidP="002903C8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внешней проверки годовой бюджетной отчетности главных администраторов бюджетных средств проанализировано соблюдение бюджетного законодательства РФ, требований Приказа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Приказа Минфина РФ от 16.12.2010</w:t>
      </w:r>
      <w:proofErr w:type="gramEnd"/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>174н «Об утверждении Плана счетов бухгалтерского учета и Инструкции по его применению», Приказа Минфина РФ от 06.12.2010 № 162н «Об утверждении Плана счетов бюджетного учета и инструкции по его применению»,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 191н (далее – Инструкция № 191н) и Инструкции о</w:t>
      </w:r>
      <w:proofErr w:type="gramEnd"/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25.03.2011 № 33н (далее - Инструкция № 33н).</w:t>
      </w:r>
    </w:p>
    <w:p w:rsidR="002903C8" w:rsidRPr="002903C8" w:rsidRDefault="002903C8" w:rsidP="002903C8">
      <w:pPr>
        <w:spacing w:after="0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 проведении проверок оценивались такие показатели, как своевременность предоставления отчетов, полнота состава форм бюджетной отчетности, соблюдение единого порядка составления и заполнения годовой бюджетной отчетности, определенного Инструкциями 191н и 33н, соблюдение контрольных соотношений между показателями форм бюджетной отчетности. Документы представлены в полном объеме согласно Инструкции 191н и     Инструкции 33н. Составлено 4 акта внешней проверки бюджетной отчетности. В результате внешней проверки годового отчета об исполнении местного бюджета, проверок бюджетной отчетности главных администраторов бюджетных средств установлено, что, в целом, представленные отчеты являются достоверными. В представленной бюджетной отчетности соблюдены контрольные соотношения, установленные Инструкциями 191н и 33н.</w:t>
      </w:r>
    </w:p>
    <w:p w:rsidR="002903C8" w:rsidRDefault="002903C8" w:rsidP="002903C8">
      <w:pPr>
        <w:spacing w:after="0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в ходе проверок выявлены факты предоставления недостоверной отчетности,  отклонения от требований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г. № 191н, которые не повлияли на достоверность отчетности в целом. </w:t>
      </w:r>
      <w:proofErr w:type="gramEnd"/>
    </w:p>
    <w:p w:rsidR="002903C8" w:rsidRPr="002903C8" w:rsidRDefault="002903C8" w:rsidP="002903C8">
      <w:pPr>
        <w:spacing w:after="0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Общая  характеристика исполнения бюджета  муниципального образования «</w:t>
      </w:r>
      <w:proofErr w:type="spellStart"/>
      <w:r w:rsidRPr="00290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Катангский</w:t>
      </w:r>
      <w:proofErr w:type="spellEnd"/>
      <w:r w:rsidRPr="00290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за 2020 год</w:t>
      </w:r>
    </w:p>
    <w:p w:rsidR="002903C8" w:rsidRPr="002903C8" w:rsidRDefault="002903C8" w:rsidP="002903C8">
      <w:pPr>
        <w:spacing w:after="0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3C8" w:rsidRPr="002903C8" w:rsidRDefault="002903C8" w:rsidP="002903C8">
      <w:pPr>
        <w:spacing w:after="0"/>
        <w:ind w:right="4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представленном на экспертизу годовом отчете об исполнении  бюджета   за 2020 год (ф.0503117) доходы исполнены в сумме </w:t>
      </w:r>
      <w:r w:rsidRPr="002903C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610 039,4  тыс. руб., </w:t>
      </w:r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том числе </w:t>
      </w:r>
      <w:r w:rsidRPr="002903C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по безвозмездным поступлениям исполнение составило 277 807,5 тыс. руб.,  </w:t>
      </w:r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и неналоговым доходам</w:t>
      </w:r>
      <w:r w:rsidRPr="002903C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в сумме  332 231, 9 тыс. руб</w:t>
      </w:r>
      <w:proofErr w:type="gramStart"/>
      <w:r w:rsidRPr="002903C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..</w:t>
      </w:r>
      <w:proofErr w:type="gramEnd"/>
    </w:p>
    <w:p w:rsidR="002903C8" w:rsidRPr="002903C8" w:rsidRDefault="002903C8" w:rsidP="002903C8">
      <w:pPr>
        <w:spacing w:after="0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расходам  исполнение бюджета составило в сумме</w:t>
      </w:r>
      <w:r w:rsidRPr="002903C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608 181,4 тыс. руб., превышение доходов над расходами бюджета  составило </w:t>
      </w:r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>1 858 тыс. руб</w:t>
      </w:r>
      <w:proofErr w:type="gramStart"/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2903C8" w:rsidRPr="002903C8" w:rsidRDefault="002903C8" w:rsidP="002903C8">
      <w:pPr>
        <w:spacing w:after="0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903C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Бюджет района был составлен и утвержден решением районной Думы  </w:t>
      </w:r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17.12.2019 № 4/17 </w:t>
      </w:r>
      <w:r w:rsidRPr="002903C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сроком на три года – очередной финансовый 2020 год и плановый период 2021 и 2022 годов. В течени</w:t>
      </w:r>
      <w:proofErr w:type="gramStart"/>
      <w:r w:rsidRPr="002903C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и</w:t>
      </w:r>
      <w:proofErr w:type="gramEnd"/>
      <w:r w:rsidRPr="002903C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2020 года  в бюджет района четыре раза были внесены изменения и дополнения, утвержденные решениями Думы муниципального образования «</w:t>
      </w:r>
      <w:proofErr w:type="spellStart"/>
      <w:r w:rsidRPr="002903C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Катангский</w:t>
      </w:r>
      <w:proofErr w:type="spellEnd"/>
      <w:r w:rsidRPr="002903C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» район, </w:t>
      </w:r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которых приведены в таблице.</w:t>
      </w:r>
    </w:p>
    <w:p w:rsidR="002903C8" w:rsidRPr="002903C8" w:rsidRDefault="002903C8" w:rsidP="002903C8">
      <w:pPr>
        <w:spacing w:after="0"/>
        <w:ind w:right="4"/>
        <w:jc w:val="both"/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</w:pPr>
      <w:r w:rsidRPr="002903C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  </w:t>
      </w:r>
      <w:proofErr w:type="gramStart"/>
      <w:r w:rsidRPr="002903C8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>т</w:t>
      </w:r>
      <w:proofErr w:type="gramEnd"/>
      <w:r w:rsidRPr="002903C8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>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3447"/>
        <w:gridCol w:w="1802"/>
        <w:gridCol w:w="2070"/>
        <w:gridCol w:w="2291"/>
      </w:tblGrid>
      <w:tr w:rsidR="002903C8" w:rsidRPr="002903C8" w:rsidTr="00904820"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№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Решение Думы о бюджете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Доходы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Расходы</w:t>
            </w:r>
          </w:p>
        </w:tc>
        <w:tc>
          <w:tcPr>
            <w:tcW w:w="23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Доходы</w:t>
            </w:r>
            <w:proofErr w:type="gramStart"/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(-) </w:t>
            </w:r>
            <w:proofErr w:type="gramEnd"/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Расходы</w:t>
            </w:r>
          </w:p>
        </w:tc>
      </w:tr>
      <w:tr w:rsidR="002903C8" w:rsidRPr="002903C8" w:rsidTr="00904820">
        <w:trPr>
          <w:trHeight w:val="427"/>
        </w:trPr>
        <w:tc>
          <w:tcPr>
            <w:tcW w:w="534" w:type="dxa"/>
            <w:shd w:val="clear" w:color="auto" w:fill="auto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D0D0D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D0D0D"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color w:val="0D0D0D"/>
                <w:lang w:eastAsia="ru-RU"/>
              </w:rPr>
              <w:t>РД от 17.12.2019  № 4/17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D0D0D"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color w:val="0D0D0D"/>
                <w:lang w:eastAsia="ru-RU"/>
              </w:rPr>
              <w:t xml:space="preserve">517 081,3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D0D0D"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color w:val="0D0D0D"/>
                <w:lang w:eastAsia="ru-RU"/>
              </w:rPr>
              <w:t xml:space="preserve">522 205,3 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D0D0D"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color w:val="0D0D0D"/>
                <w:lang w:eastAsia="ru-RU"/>
              </w:rPr>
              <w:t xml:space="preserve"> - 5 124</w:t>
            </w:r>
          </w:p>
        </w:tc>
      </w:tr>
      <w:tr w:rsidR="002903C8" w:rsidRPr="002903C8" w:rsidTr="00904820">
        <w:trPr>
          <w:trHeight w:val="419"/>
        </w:trPr>
        <w:tc>
          <w:tcPr>
            <w:tcW w:w="534" w:type="dxa"/>
            <w:shd w:val="clear" w:color="auto" w:fill="FFFFFF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РД от 24.03.2020  № 1/10  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559 202,3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612 490,7 </w:t>
            </w:r>
          </w:p>
        </w:tc>
        <w:tc>
          <w:tcPr>
            <w:tcW w:w="2363" w:type="dxa"/>
            <w:shd w:val="clear" w:color="auto" w:fill="FFFFFF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- 53 288,3 </w:t>
            </w:r>
          </w:p>
        </w:tc>
      </w:tr>
      <w:tr w:rsidR="002903C8" w:rsidRPr="002903C8" w:rsidTr="00904820">
        <w:trPr>
          <w:trHeight w:val="425"/>
        </w:trPr>
        <w:tc>
          <w:tcPr>
            <w:tcW w:w="534" w:type="dxa"/>
            <w:shd w:val="clear" w:color="auto" w:fill="FFFFFF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543" w:type="dxa"/>
            <w:shd w:val="clear" w:color="auto" w:fill="FFFFFF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отклонение от РД о бюджете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+ 42 121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+ 90 285,4</w:t>
            </w:r>
          </w:p>
        </w:tc>
        <w:tc>
          <w:tcPr>
            <w:tcW w:w="2363" w:type="dxa"/>
            <w:shd w:val="clear" w:color="auto" w:fill="FFFFFF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- 48 164,3</w:t>
            </w:r>
          </w:p>
        </w:tc>
      </w:tr>
      <w:tr w:rsidR="002903C8" w:rsidRPr="002903C8" w:rsidTr="00904820">
        <w:trPr>
          <w:trHeight w:val="403"/>
        </w:trPr>
        <w:tc>
          <w:tcPr>
            <w:tcW w:w="534" w:type="dxa"/>
            <w:shd w:val="clear" w:color="auto" w:fill="auto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lang w:eastAsia="ru-RU"/>
              </w:rPr>
              <w:t>РД от 17.04.2020 № 2/2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559 202,3 </w:t>
            </w:r>
            <w:r w:rsidRPr="002903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612 490,7</w:t>
            </w:r>
          </w:p>
        </w:tc>
        <w:tc>
          <w:tcPr>
            <w:tcW w:w="2363" w:type="dxa"/>
            <w:shd w:val="clear" w:color="auto" w:fill="FFFFFF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53 288,3</w:t>
            </w:r>
          </w:p>
        </w:tc>
      </w:tr>
      <w:tr w:rsidR="002903C8" w:rsidRPr="002903C8" w:rsidTr="00904820">
        <w:trPr>
          <w:trHeight w:val="409"/>
        </w:trPr>
        <w:tc>
          <w:tcPr>
            <w:tcW w:w="534" w:type="dxa"/>
            <w:shd w:val="clear" w:color="auto" w:fill="auto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отклонение от предыдущего РД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2363" w:type="dxa"/>
            <w:shd w:val="clear" w:color="auto" w:fill="FFFFFF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</w:tr>
      <w:tr w:rsidR="002903C8" w:rsidRPr="002903C8" w:rsidTr="00904820">
        <w:trPr>
          <w:trHeight w:val="415"/>
        </w:trPr>
        <w:tc>
          <w:tcPr>
            <w:tcW w:w="534" w:type="dxa"/>
            <w:shd w:val="clear" w:color="auto" w:fill="auto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lang w:eastAsia="ru-RU"/>
              </w:rPr>
              <w:t>РД от 30.09.2020 № 4/8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598 839,2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649 466,2 </w:t>
            </w:r>
          </w:p>
        </w:tc>
        <w:tc>
          <w:tcPr>
            <w:tcW w:w="2363" w:type="dxa"/>
            <w:shd w:val="clear" w:color="auto" w:fill="FFFFFF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50 627</w:t>
            </w:r>
          </w:p>
        </w:tc>
      </w:tr>
      <w:tr w:rsidR="002903C8" w:rsidRPr="002903C8" w:rsidTr="00904820">
        <w:trPr>
          <w:trHeight w:val="421"/>
        </w:trPr>
        <w:tc>
          <w:tcPr>
            <w:tcW w:w="534" w:type="dxa"/>
            <w:shd w:val="clear" w:color="auto" w:fill="auto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отклонение от предыдущего РД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+ 39736,9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+ 36957,5</w:t>
            </w:r>
          </w:p>
        </w:tc>
        <w:tc>
          <w:tcPr>
            <w:tcW w:w="2363" w:type="dxa"/>
            <w:shd w:val="clear" w:color="auto" w:fill="FFFFFF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+ 2661,3</w:t>
            </w:r>
          </w:p>
        </w:tc>
      </w:tr>
      <w:tr w:rsidR="002903C8" w:rsidRPr="002903C8" w:rsidTr="00904820">
        <w:trPr>
          <w:trHeight w:val="413"/>
        </w:trPr>
        <w:tc>
          <w:tcPr>
            <w:tcW w:w="534" w:type="dxa"/>
            <w:shd w:val="clear" w:color="auto" w:fill="auto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lang w:eastAsia="ru-RU"/>
              </w:rPr>
              <w:t>РД от 18.12.2020 № 5/18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613 521,3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661 685,6</w:t>
            </w:r>
          </w:p>
        </w:tc>
        <w:tc>
          <w:tcPr>
            <w:tcW w:w="2363" w:type="dxa"/>
            <w:shd w:val="clear" w:color="auto" w:fill="FFFFFF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-48 164, 2 </w:t>
            </w:r>
          </w:p>
        </w:tc>
      </w:tr>
      <w:tr w:rsidR="002903C8" w:rsidRPr="002903C8" w:rsidTr="00904820">
        <w:trPr>
          <w:trHeight w:val="419"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отклонение от предыдущего РД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+ 14 682,1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+12 219,4</w:t>
            </w:r>
          </w:p>
        </w:tc>
        <w:tc>
          <w:tcPr>
            <w:tcW w:w="236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+  2462,8</w:t>
            </w:r>
          </w:p>
        </w:tc>
      </w:tr>
      <w:tr w:rsidR="002903C8" w:rsidRPr="002903C8" w:rsidTr="00904820">
        <w:trPr>
          <w:trHeight w:val="709"/>
        </w:trPr>
        <w:tc>
          <w:tcPr>
            <w:tcW w:w="534" w:type="dxa"/>
            <w:shd w:val="clear" w:color="auto" w:fill="auto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отклонение последнего Решения </w:t>
            </w:r>
            <w:proofErr w:type="gramStart"/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от</w:t>
            </w:r>
            <w:proofErr w:type="gramEnd"/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первоначального РД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96 440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139 480,3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- 43 040,2</w:t>
            </w:r>
          </w:p>
        </w:tc>
      </w:tr>
    </w:tbl>
    <w:p w:rsidR="002903C8" w:rsidRPr="002903C8" w:rsidRDefault="002903C8" w:rsidP="002903C8">
      <w:pPr>
        <w:spacing w:after="0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Показатели отчёта об исполнении бюджета, как по доходам, так и по расходам и источникам финансирования дефицита (профицита) бюджета, подлежащие утверждению, соответствуют итоговым суммам фактических поступлений доходов в бюджет района и выбытий из бюджета в 2020 году с учётом уведомлений, что подтверждается отчетом о кассовых поступлениях и выбытиях (ф. 0503124).</w:t>
      </w:r>
    </w:p>
    <w:p w:rsidR="002903C8" w:rsidRPr="002903C8" w:rsidRDefault="002903C8" w:rsidP="002903C8">
      <w:pPr>
        <w:tabs>
          <w:tab w:val="left" w:pos="900"/>
        </w:tabs>
        <w:spacing w:after="0" w:line="240" w:lineRule="auto"/>
        <w:ind w:right="4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9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Фактическое исполнение</w:t>
      </w:r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«</w:t>
      </w:r>
      <w:proofErr w:type="spellStart"/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2020 год характеризуется следующими показателями:</w:t>
      </w:r>
    </w:p>
    <w:p w:rsidR="002903C8" w:rsidRPr="002903C8" w:rsidRDefault="002903C8" w:rsidP="002903C8">
      <w:pPr>
        <w:spacing w:after="0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3C8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5"/>
        <w:gridCol w:w="1824"/>
        <w:gridCol w:w="1835"/>
        <w:gridCol w:w="1950"/>
        <w:gridCol w:w="2215"/>
      </w:tblGrid>
      <w:tr w:rsidR="002903C8" w:rsidRPr="002903C8" w:rsidTr="00904820">
        <w:tc>
          <w:tcPr>
            <w:tcW w:w="2065" w:type="dxa"/>
            <w:shd w:val="clear" w:color="auto" w:fill="auto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Наименование показателя</w:t>
            </w:r>
          </w:p>
        </w:tc>
        <w:tc>
          <w:tcPr>
            <w:tcW w:w="18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плановые показатели РД  от 17.12.2019г.</w:t>
            </w:r>
          </w:p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 № 4/17</w:t>
            </w:r>
          </w:p>
        </w:tc>
        <w:tc>
          <w:tcPr>
            <w:tcW w:w="1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Уточнённый план 2020 г.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Фактическое исполнение </w:t>
            </w:r>
          </w:p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2020 г.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Процент исполнения плана 2019 г.</w:t>
            </w:r>
          </w:p>
        </w:tc>
      </w:tr>
      <w:tr w:rsidR="002903C8" w:rsidRPr="002903C8" w:rsidTr="00904820">
        <w:tc>
          <w:tcPr>
            <w:tcW w:w="2065" w:type="dxa"/>
            <w:shd w:val="clear" w:color="auto" w:fill="auto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Доходы</w:t>
            </w:r>
          </w:p>
        </w:tc>
        <w:tc>
          <w:tcPr>
            <w:tcW w:w="18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517 081,3    </w:t>
            </w:r>
          </w:p>
        </w:tc>
        <w:tc>
          <w:tcPr>
            <w:tcW w:w="1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613 521,3</w:t>
            </w:r>
          </w:p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(РД от 18.12.2020 № 5/18)</w:t>
            </w:r>
          </w:p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618 739,5</w:t>
            </w:r>
          </w:p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(ф.0503117)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610 039,4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99</w:t>
            </w:r>
          </w:p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98,6 </w:t>
            </w:r>
          </w:p>
        </w:tc>
      </w:tr>
      <w:tr w:rsidR="002903C8" w:rsidRPr="002903C8" w:rsidTr="00904820">
        <w:tc>
          <w:tcPr>
            <w:tcW w:w="2065" w:type="dxa"/>
            <w:shd w:val="clear" w:color="auto" w:fill="auto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Расходы</w:t>
            </w:r>
          </w:p>
        </w:tc>
        <w:tc>
          <w:tcPr>
            <w:tcW w:w="18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522 205,3  </w:t>
            </w:r>
          </w:p>
        </w:tc>
        <w:tc>
          <w:tcPr>
            <w:tcW w:w="1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661 685,6 </w:t>
            </w:r>
          </w:p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(РД от 18.12.2020 № 5/18)</w:t>
            </w:r>
          </w:p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666 903,8 </w:t>
            </w:r>
          </w:p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(ф.0503117,СБР)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608 181,4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92 </w:t>
            </w:r>
          </w:p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91</w:t>
            </w:r>
          </w:p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2903C8" w:rsidRPr="002903C8" w:rsidTr="00904820">
        <w:tc>
          <w:tcPr>
            <w:tcW w:w="2065" w:type="dxa"/>
            <w:shd w:val="clear" w:color="auto" w:fill="auto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Дефицит\ профицит</w:t>
            </w:r>
          </w:p>
        </w:tc>
        <w:tc>
          <w:tcPr>
            <w:tcW w:w="18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- 5 124</w:t>
            </w:r>
          </w:p>
        </w:tc>
        <w:tc>
          <w:tcPr>
            <w:tcW w:w="1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-48 164, 2 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+1 858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-</w:t>
            </w:r>
          </w:p>
        </w:tc>
      </w:tr>
    </w:tbl>
    <w:p w:rsidR="002903C8" w:rsidRPr="002903C8" w:rsidRDefault="002903C8" w:rsidP="002903C8">
      <w:pPr>
        <w:spacing w:after="0"/>
        <w:ind w:right="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03C8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2903C8" w:rsidRPr="002903C8" w:rsidRDefault="002903C8" w:rsidP="002903C8">
      <w:pPr>
        <w:spacing w:after="0"/>
        <w:ind w:right="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 из таблицы</w:t>
      </w:r>
      <w:r w:rsidRPr="002903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уточненные плановые бюджетные ассигнования  по доходам и расходам на 2020 год, увеличены соответственно на  101 658,2 тыс. рублей и на  144 698.5  тыс. рублей  от первоначальных плановых показателей районного бюджета. Фактическое исполнение бюджета по расходам подтверждается  представленной уточненной сводной росписью бюджета муниципального образования «</w:t>
      </w:r>
      <w:proofErr w:type="spellStart"/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30.12.2020 года  на 2020 год и на плановый период 2021 и 2022 годов.  </w:t>
      </w:r>
    </w:p>
    <w:p w:rsidR="002903C8" w:rsidRPr="002903C8" w:rsidRDefault="002903C8" w:rsidP="002903C8">
      <w:pPr>
        <w:spacing w:after="0"/>
        <w:ind w:right="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Плановые показатели представленной бюджетной отчетности по доходам и расходам бюджета района по состоянию на 01.01.2021 года не соответствуют плановым показателям, утвержденным решением Думы   района от 17.12.2019 года N4/17.  </w:t>
      </w:r>
      <w:proofErr w:type="gramStart"/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отклонения является увеличение доходов и расходов районного бюджета на 5 218,2 тыс. руб. за счет увеличения  субвенции</w:t>
      </w:r>
      <w:r w:rsidRPr="002903C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</w:r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Pr="002903C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субвенции на обеспечение государственных гарантий реализации прав на получение общедоступного и</w:t>
      </w:r>
      <w:proofErr w:type="gramEnd"/>
      <w:r w:rsidRPr="002903C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бесплатного дошкольного образования в муниципальных дошкольных образовательных и общеобразовательных организациях.  Д</w:t>
      </w:r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анные отклонения соответствуют требованиям ст. 217 БК РФ. </w:t>
      </w:r>
    </w:p>
    <w:p w:rsidR="002903C8" w:rsidRPr="002903C8" w:rsidRDefault="002903C8" w:rsidP="002903C8">
      <w:pPr>
        <w:spacing w:after="0"/>
        <w:ind w:right="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 района в 2020 году, как и в предыдущие годы, осуществлялось не равномерно в течение года, как по доходам, так и по расходам.</w:t>
      </w:r>
    </w:p>
    <w:p w:rsidR="002903C8" w:rsidRPr="002903C8" w:rsidRDefault="002903C8" w:rsidP="002903C8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Из данных, представленных в таблице, следует, что в 2020 году достичь равномерного, соразмерно поступающих доходов, исполнения расходов районного бюджета  не удалось. </w:t>
      </w:r>
    </w:p>
    <w:p w:rsidR="002903C8" w:rsidRPr="002903C8" w:rsidRDefault="002903C8" w:rsidP="002903C8">
      <w:pPr>
        <w:tabs>
          <w:tab w:val="left" w:pos="0"/>
        </w:tabs>
        <w:spacing w:after="0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Сравнительный анализ исполнения бюджета МО «</w:t>
      </w:r>
      <w:proofErr w:type="spellStart"/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за 2018 - 2020 годы.</w:t>
      </w:r>
    </w:p>
    <w:p w:rsidR="002903C8" w:rsidRPr="002903C8" w:rsidRDefault="002903C8" w:rsidP="002903C8">
      <w:pPr>
        <w:autoSpaceDE w:val="0"/>
        <w:autoSpaceDN w:val="0"/>
        <w:adjustRightInd w:val="0"/>
        <w:spacing w:after="0"/>
        <w:ind w:right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3C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тыс. рублей</w:t>
      </w:r>
    </w:p>
    <w:tbl>
      <w:tblPr>
        <w:tblW w:w="97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992"/>
        <w:gridCol w:w="993"/>
        <w:gridCol w:w="715"/>
        <w:gridCol w:w="1080"/>
        <w:gridCol w:w="1080"/>
        <w:gridCol w:w="799"/>
        <w:gridCol w:w="1019"/>
        <w:gridCol w:w="1151"/>
        <w:gridCol w:w="632"/>
      </w:tblGrid>
      <w:tr w:rsidR="002903C8" w:rsidRPr="002903C8" w:rsidTr="00904820">
        <w:trPr>
          <w:trHeight w:hRule="exact" w:val="319"/>
          <w:jc w:val="center"/>
        </w:trPr>
        <w:tc>
          <w:tcPr>
            <w:tcW w:w="1260" w:type="dxa"/>
            <w:vMerge w:val="restart"/>
            <w:shd w:val="clear" w:color="auto" w:fill="FFFFFF" w:themeFill="background1"/>
            <w:vAlign w:val="center"/>
          </w:tcPr>
          <w:p w:rsidR="002903C8" w:rsidRPr="002903C8" w:rsidRDefault="002903C8" w:rsidP="002903C8">
            <w:pPr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Основные характеристики бюджета  </w:t>
            </w:r>
          </w:p>
          <w:p w:rsidR="002903C8" w:rsidRPr="002903C8" w:rsidRDefault="002903C8" w:rsidP="002903C8">
            <w:pPr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700" w:type="dxa"/>
            <w:gridSpan w:val="3"/>
            <w:shd w:val="clear" w:color="auto" w:fill="FFFFFF" w:themeFill="background1"/>
          </w:tcPr>
          <w:p w:rsidR="002903C8" w:rsidRPr="002903C8" w:rsidRDefault="002903C8" w:rsidP="002903C8">
            <w:pPr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2018 </w:t>
            </w:r>
          </w:p>
        </w:tc>
        <w:tc>
          <w:tcPr>
            <w:tcW w:w="2959" w:type="dxa"/>
            <w:gridSpan w:val="3"/>
            <w:shd w:val="clear" w:color="auto" w:fill="FFFFFF" w:themeFill="background1"/>
          </w:tcPr>
          <w:p w:rsidR="002903C8" w:rsidRPr="002903C8" w:rsidRDefault="002903C8" w:rsidP="002903C8">
            <w:pPr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2019 </w:t>
            </w:r>
          </w:p>
        </w:tc>
        <w:tc>
          <w:tcPr>
            <w:tcW w:w="2802" w:type="dxa"/>
            <w:gridSpan w:val="3"/>
            <w:shd w:val="clear" w:color="auto" w:fill="FFFFFF" w:themeFill="background1"/>
          </w:tcPr>
          <w:p w:rsidR="002903C8" w:rsidRPr="002903C8" w:rsidRDefault="002903C8" w:rsidP="002903C8">
            <w:pPr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2020</w:t>
            </w:r>
          </w:p>
        </w:tc>
      </w:tr>
      <w:tr w:rsidR="002903C8" w:rsidRPr="002903C8" w:rsidTr="00904820">
        <w:trPr>
          <w:trHeight w:hRule="exact" w:val="957"/>
          <w:jc w:val="center"/>
        </w:trPr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2903C8" w:rsidRPr="002903C8" w:rsidRDefault="002903C8" w:rsidP="002903C8">
            <w:pPr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03C8" w:rsidRPr="002903C8" w:rsidRDefault="002903C8" w:rsidP="002903C8">
            <w:pPr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план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903C8" w:rsidRPr="002903C8" w:rsidRDefault="002903C8" w:rsidP="002903C8">
            <w:pPr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факт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2903C8" w:rsidRPr="002903C8" w:rsidRDefault="002903C8" w:rsidP="002903C8">
            <w:pPr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% исполнения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2903C8" w:rsidRPr="002903C8" w:rsidRDefault="002903C8" w:rsidP="002903C8">
            <w:pPr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план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2903C8" w:rsidRPr="002903C8" w:rsidRDefault="002903C8" w:rsidP="002903C8">
            <w:pPr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факт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2903C8" w:rsidRPr="002903C8" w:rsidRDefault="002903C8" w:rsidP="002903C8">
            <w:pPr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% исполнения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2903C8" w:rsidRPr="002903C8" w:rsidRDefault="002903C8" w:rsidP="002903C8">
            <w:pPr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план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2903C8" w:rsidRPr="002903C8" w:rsidRDefault="002903C8" w:rsidP="002903C8">
            <w:pPr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факт</w:t>
            </w:r>
          </w:p>
        </w:tc>
        <w:tc>
          <w:tcPr>
            <w:tcW w:w="632" w:type="dxa"/>
            <w:shd w:val="clear" w:color="auto" w:fill="FFFFFF" w:themeFill="background1"/>
            <w:vAlign w:val="center"/>
          </w:tcPr>
          <w:p w:rsidR="002903C8" w:rsidRPr="002903C8" w:rsidRDefault="002903C8" w:rsidP="002903C8">
            <w:pPr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% исполнения</w:t>
            </w:r>
          </w:p>
        </w:tc>
      </w:tr>
      <w:tr w:rsidR="002903C8" w:rsidRPr="002903C8" w:rsidTr="00904820">
        <w:trPr>
          <w:trHeight w:hRule="exact" w:val="474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:rsidR="002903C8" w:rsidRPr="002903C8" w:rsidRDefault="002903C8" w:rsidP="002903C8">
            <w:pPr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03C8" w:rsidRPr="002903C8" w:rsidRDefault="002903C8" w:rsidP="002903C8">
            <w:pPr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903C8" w:rsidRPr="002903C8" w:rsidRDefault="002903C8" w:rsidP="002903C8">
            <w:pPr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2903C8" w:rsidRPr="002903C8" w:rsidRDefault="002903C8" w:rsidP="002903C8">
            <w:pPr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2903C8" w:rsidRPr="002903C8" w:rsidRDefault="002903C8" w:rsidP="002903C8">
            <w:pPr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2903C8" w:rsidRPr="002903C8" w:rsidRDefault="002903C8" w:rsidP="002903C8">
            <w:pPr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2903C8" w:rsidRPr="002903C8" w:rsidRDefault="002903C8" w:rsidP="002903C8">
            <w:pPr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7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2903C8" w:rsidRPr="002903C8" w:rsidRDefault="002903C8" w:rsidP="002903C8">
            <w:pPr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8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2903C8" w:rsidRPr="002903C8" w:rsidRDefault="002903C8" w:rsidP="002903C8">
            <w:pPr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9</w:t>
            </w:r>
          </w:p>
        </w:tc>
        <w:tc>
          <w:tcPr>
            <w:tcW w:w="632" w:type="dxa"/>
            <w:shd w:val="clear" w:color="auto" w:fill="FFFFFF" w:themeFill="background1"/>
            <w:vAlign w:val="center"/>
          </w:tcPr>
          <w:p w:rsidR="002903C8" w:rsidRPr="002903C8" w:rsidRDefault="002903C8" w:rsidP="002903C8">
            <w:pPr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10</w:t>
            </w:r>
          </w:p>
        </w:tc>
      </w:tr>
      <w:tr w:rsidR="002903C8" w:rsidRPr="002903C8" w:rsidTr="00904820">
        <w:trPr>
          <w:trHeight w:val="340"/>
          <w:jc w:val="center"/>
        </w:trPr>
        <w:tc>
          <w:tcPr>
            <w:tcW w:w="1260" w:type="dxa"/>
            <w:vAlign w:val="center"/>
          </w:tcPr>
          <w:p w:rsidR="002903C8" w:rsidRPr="002903C8" w:rsidRDefault="002903C8" w:rsidP="002903C8">
            <w:pPr>
              <w:shd w:val="clear" w:color="auto" w:fill="FFFFFF"/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Доходы</w:t>
            </w:r>
          </w:p>
        </w:tc>
        <w:tc>
          <w:tcPr>
            <w:tcW w:w="992" w:type="dxa"/>
            <w:vAlign w:val="center"/>
          </w:tcPr>
          <w:p w:rsidR="002903C8" w:rsidRPr="002903C8" w:rsidRDefault="002903C8" w:rsidP="002903C8">
            <w:pPr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547040,1</w:t>
            </w:r>
          </w:p>
        </w:tc>
        <w:tc>
          <w:tcPr>
            <w:tcW w:w="993" w:type="dxa"/>
            <w:vAlign w:val="center"/>
          </w:tcPr>
          <w:p w:rsidR="002903C8" w:rsidRPr="002903C8" w:rsidRDefault="002903C8" w:rsidP="002903C8">
            <w:pPr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537879,7</w:t>
            </w:r>
          </w:p>
        </w:tc>
        <w:tc>
          <w:tcPr>
            <w:tcW w:w="715" w:type="dxa"/>
            <w:vAlign w:val="center"/>
          </w:tcPr>
          <w:p w:rsidR="002903C8" w:rsidRPr="002903C8" w:rsidRDefault="002903C8" w:rsidP="002903C8">
            <w:pPr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98</w:t>
            </w:r>
          </w:p>
        </w:tc>
        <w:tc>
          <w:tcPr>
            <w:tcW w:w="1080" w:type="dxa"/>
            <w:vAlign w:val="center"/>
          </w:tcPr>
          <w:p w:rsidR="002903C8" w:rsidRPr="002903C8" w:rsidRDefault="002903C8" w:rsidP="002903C8">
            <w:pPr>
              <w:shd w:val="clear" w:color="auto" w:fill="FFFFFF"/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566578,9</w:t>
            </w:r>
          </w:p>
        </w:tc>
        <w:tc>
          <w:tcPr>
            <w:tcW w:w="1080" w:type="dxa"/>
            <w:vAlign w:val="center"/>
          </w:tcPr>
          <w:p w:rsidR="002903C8" w:rsidRPr="002903C8" w:rsidRDefault="002903C8" w:rsidP="002903C8">
            <w:pPr>
              <w:shd w:val="clear" w:color="auto" w:fill="FFFFFF"/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563301,2</w:t>
            </w:r>
          </w:p>
        </w:tc>
        <w:tc>
          <w:tcPr>
            <w:tcW w:w="799" w:type="dxa"/>
            <w:vAlign w:val="center"/>
          </w:tcPr>
          <w:p w:rsidR="002903C8" w:rsidRPr="002903C8" w:rsidRDefault="002903C8" w:rsidP="002903C8">
            <w:pPr>
              <w:shd w:val="clear" w:color="auto" w:fill="FFFFFF"/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99</w:t>
            </w:r>
          </w:p>
        </w:tc>
        <w:tc>
          <w:tcPr>
            <w:tcW w:w="1019" w:type="dxa"/>
            <w:vAlign w:val="bottom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618 739,5</w:t>
            </w:r>
          </w:p>
          <w:p w:rsidR="002903C8" w:rsidRPr="002903C8" w:rsidRDefault="002903C8" w:rsidP="002903C8">
            <w:pPr>
              <w:shd w:val="clear" w:color="auto" w:fill="FFFFFF"/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51" w:type="dxa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610 039,4</w:t>
            </w:r>
          </w:p>
        </w:tc>
        <w:tc>
          <w:tcPr>
            <w:tcW w:w="632" w:type="dxa"/>
            <w:vAlign w:val="center"/>
          </w:tcPr>
          <w:p w:rsidR="002903C8" w:rsidRPr="002903C8" w:rsidRDefault="002903C8" w:rsidP="002903C8">
            <w:pPr>
              <w:shd w:val="clear" w:color="auto" w:fill="FFFFFF"/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99</w:t>
            </w:r>
          </w:p>
        </w:tc>
      </w:tr>
      <w:tr w:rsidR="002903C8" w:rsidRPr="002903C8" w:rsidTr="00904820">
        <w:trPr>
          <w:trHeight w:val="340"/>
          <w:jc w:val="center"/>
        </w:trPr>
        <w:tc>
          <w:tcPr>
            <w:tcW w:w="1260" w:type="dxa"/>
            <w:vAlign w:val="center"/>
          </w:tcPr>
          <w:p w:rsidR="002903C8" w:rsidRPr="002903C8" w:rsidRDefault="002903C8" w:rsidP="002903C8">
            <w:pPr>
              <w:shd w:val="clear" w:color="auto" w:fill="FFFFFF"/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Расходы</w:t>
            </w:r>
          </w:p>
        </w:tc>
        <w:tc>
          <w:tcPr>
            <w:tcW w:w="992" w:type="dxa"/>
            <w:vAlign w:val="center"/>
          </w:tcPr>
          <w:p w:rsidR="002903C8" w:rsidRPr="002903C8" w:rsidRDefault="002903C8" w:rsidP="002903C8">
            <w:pPr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593355,1</w:t>
            </w:r>
          </w:p>
        </w:tc>
        <w:tc>
          <w:tcPr>
            <w:tcW w:w="993" w:type="dxa"/>
            <w:vAlign w:val="center"/>
          </w:tcPr>
          <w:p w:rsidR="002903C8" w:rsidRPr="002903C8" w:rsidRDefault="002903C8" w:rsidP="002903C8">
            <w:pPr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542604,4</w:t>
            </w:r>
          </w:p>
        </w:tc>
        <w:tc>
          <w:tcPr>
            <w:tcW w:w="715" w:type="dxa"/>
            <w:vAlign w:val="center"/>
          </w:tcPr>
          <w:p w:rsidR="002903C8" w:rsidRPr="002903C8" w:rsidRDefault="002903C8" w:rsidP="002903C8">
            <w:pPr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91</w:t>
            </w:r>
          </w:p>
        </w:tc>
        <w:tc>
          <w:tcPr>
            <w:tcW w:w="1080" w:type="dxa"/>
            <w:vAlign w:val="center"/>
          </w:tcPr>
          <w:p w:rsidR="002903C8" w:rsidRPr="002903C8" w:rsidRDefault="002903C8" w:rsidP="002903C8">
            <w:pPr>
              <w:shd w:val="clear" w:color="auto" w:fill="FFFFFF"/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612837,1</w:t>
            </w:r>
          </w:p>
        </w:tc>
        <w:tc>
          <w:tcPr>
            <w:tcW w:w="1080" w:type="dxa"/>
            <w:vAlign w:val="center"/>
          </w:tcPr>
          <w:p w:rsidR="002903C8" w:rsidRPr="002903C8" w:rsidRDefault="002903C8" w:rsidP="002903C8">
            <w:pPr>
              <w:shd w:val="clear" w:color="auto" w:fill="FFFFFF"/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551647,1</w:t>
            </w:r>
          </w:p>
        </w:tc>
        <w:tc>
          <w:tcPr>
            <w:tcW w:w="799" w:type="dxa"/>
            <w:vAlign w:val="center"/>
          </w:tcPr>
          <w:p w:rsidR="002903C8" w:rsidRPr="002903C8" w:rsidRDefault="002903C8" w:rsidP="002903C8">
            <w:pPr>
              <w:shd w:val="clear" w:color="auto" w:fill="FFFFFF"/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90</w:t>
            </w:r>
          </w:p>
        </w:tc>
        <w:tc>
          <w:tcPr>
            <w:tcW w:w="1019" w:type="dxa"/>
            <w:vAlign w:val="bottom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666 903,8</w:t>
            </w:r>
          </w:p>
          <w:p w:rsidR="002903C8" w:rsidRPr="002903C8" w:rsidRDefault="002903C8" w:rsidP="002903C8">
            <w:pPr>
              <w:shd w:val="clear" w:color="auto" w:fill="FFFFFF"/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51" w:type="dxa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608 181,4</w:t>
            </w:r>
          </w:p>
        </w:tc>
        <w:tc>
          <w:tcPr>
            <w:tcW w:w="632" w:type="dxa"/>
            <w:vAlign w:val="center"/>
          </w:tcPr>
          <w:p w:rsidR="002903C8" w:rsidRPr="002903C8" w:rsidRDefault="002903C8" w:rsidP="002903C8">
            <w:pPr>
              <w:shd w:val="clear" w:color="auto" w:fill="FFFFFF"/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91</w:t>
            </w:r>
          </w:p>
        </w:tc>
      </w:tr>
      <w:tr w:rsidR="002903C8" w:rsidRPr="002903C8" w:rsidTr="00904820">
        <w:trPr>
          <w:trHeight w:val="340"/>
          <w:jc w:val="center"/>
        </w:trPr>
        <w:tc>
          <w:tcPr>
            <w:tcW w:w="1260" w:type="dxa"/>
            <w:vAlign w:val="center"/>
          </w:tcPr>
          <w:p w:rsidR="002903C8" w:rsidRPr="002903C8" w:rsidRDefault="002903C8" w:rsidP="002903C8">
            <w:pPr>
              <w:shd w:val="clear" w:color="auto" w:fill="FFFFFF"/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Дефицит </w:t>
            </w:r>
            <w:proofErr w:type="gramStart"/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-п</w:t>
            </w:r>
            <w:proofErr w:type="gramEnd"/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рофицит+</w:t>
            </w:r>
          </w:p>
        </w:tc>
        <w:tc>
          <w:tcPr>
            <w:tcW w:w="992" w:type="dxa"/>
            <w:vAlign w:val="center"/>
          </w:tcPr>
          <w:p w:rsidR="002903C8" w:rsidRPr="002903C8" w:rsidRDefault="002903C8" w:rsidP="002903C8">
            <w:pPr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2903C8" w:rsidRPr="002903C8" w:rsidRDefault="002903C8" w:rsidP="002903C8">
            <w:pPr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-46315</w:t>
            </w:r>
          </w:p>
        </w:tc>
        <w:tc>
          <w:tcPr>
            <w:tcW w:w="993" w:type="dxa"/>
            <w:vAlign w:val="center"/>
          </w:tcPr>
          <w:p w:rsidR="002903C8" w:rsidRPr="002903C8" w:rsidRDefault="002903C8" w:rsidP="002903C8">
            <w:pPr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2903C8" w:rsidRPr="002903C8" w:rsidRDefault="002903C8" w:rsidP="002903C8">
            <w:pPr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-4724,7</w:t>
            </w:r>
          </w:p>
        </w:tc>
        <w:tc>
          <w:tcPr>
            <w:tcW w:w="715" w:type="dxa"/>
            <w:vAlign w:val="center"/>
          </w:tcPr>
          <w:p w:rsidR="002903C8" w:rsidRPr="002903C8" w:rsidRDefault="002903C8" w:rsidP="002903C8">
            <w:pPr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2903C8" w:rsidRPr="002903C8" w:rsidRDefault="002903C8" w:rsidP="002903C8">
            <w:pPr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2903C8" w:rsidRPr="002903C8" w:rsidRDefault="002903C8" w:rsidP="002903C8">
            <w:pPr>
              <w:shd w:val="clear" w:color="auto" w:fill="FFFFFF"/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2903C8" w:rsidRPr="002903C8" w:rsidRDefault="002903C8" w:rsidP="002903C8">
            <w:pPr>
              <w:shd w:val="clear" w:color="auto" w:fill="FFFFFF"/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-46258,2</w:t>
            </w:r>
          </w:p>
        </w:tc>
        <w:tc>
          <w:tcPr>
            <w:tcW w:w="1080" w:type="dxa"/>
            <w:vAlign w:val="center"/>
          </w:tcPr>
          <w:p w:rsidR="002903C8" w:rsidRPr="002903C8" w:rsidRDefault="002903C8" w:rsidP="002903C8">
            <w:pPr>
              <w:shd w:val="clear" w:color="auto" w:fill="FFFFFF"/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2903C8" w:rsidRPr="002903C8" w:rsidRDefault="002903C8" w:rsidP="002903C8">
            <w:pPr>
              <w:shd w:val="clear" w:color="auto" w:fill="FFFFFF"/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+11654,1</w:t>
            </w:r>
          </w:p>
        </w:tc>
        <w:tc>
          <w:tcPr>
            <w:tcW w:w="799" w:type="dxa"/>
            <w:vAlign w:val="center"/>
          </w:tcPr>
          <w:p w:rsidR="002903C8" w:rsidRPr="002903C8" w:rsidRDefault="002903C8" w:rsidP="002903C8">
            <w:pPr>
              <w:shd w:val="clear" w:color="auto" w:fill="FFFFFF"/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2903C8" w:rsidRPr="002903C8" w:rsidRDefault="002903C8" w:rsidP="002903C8">
            <w:pPr>
              <w:shd w:val="clear" w:color="auto" w:fill="FFFFFF"/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019" w:type="dxa"/>
            <w:vAlign w:val="center"/>
          </w:tcPr>
          <w:p w:rsidR="002903C8" w:rsidRPr="002903C8" w:rsidRDefault="002903C8" w:rsidP="002903C8">
            <w:pPr>
              <w:shd w:val="clear" w:color="auto" w:fill="FFFFFF"/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2903C8" w:rsidRPr="002903C8" w:rsidRDefault="002903C8" w:rsidP="002903C8">
            <w:pPr>
              <w:shd w:val="clear" w:color="auto" w:fill="FFFFFF"/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-48 164,2</w:t>
            </w:r>
          </w:p>
        </w:tc>
        <w:tc>
          <w:tcPr>
            <w:tcW w:w="1151" w:type="dxa"/>
            <w:vAlign w:val="center"/>
          </w:tcPr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2903C8" w:rsidRPr="002903C8" w:rsidRDefault="002903C8" w:rsidP="002903C8">
            <w:pPr>
              <w:tabs>
                <w:tab w:val="left" w:pos="900"/>
              </w:tabs>
              <w:spacing w:after="0" w:line="240" w:lineRule="auto"/>
              <w:ind w:right="4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+1 858</w:t>
            </w:r>
          </w:p>
        </w:tc>
        <w:tc>
          <w:tcPr>
            <w:tcW w:w="632" w:type="dxa"/>
            <w:vAlign w:val="center"/>
          </w:tcPr>
          <w:p w:rsidR="002903C8" w:rsidRPr="002903C8" w:rsidRDefault="002903C8" w:rsidP="002903C8">
            <w:pPr>
              <w:shd w:val="clear" w:color="auto" w:fill="FFFFFF"/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2903C8" w:rsidRPr="002903C8" w:rsidRDefault="002903C8" w:rsidP="002903C8">
            <w:pPr>
              <w:shd w:val="clear" w:color="auto" w:fill="FFFFFF"/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3C8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</w:tr>
    </w:tbl>
    <w:p w:rsidR="002903C8" w:rsidRPr="002903C8" w:rsidRDefault="002903C8" w:rsidP="002903C8">
      <w:pPr>
        <w:widowControl w:val="0"/>
        <w:spacing w:after="0"/>
        <w:ind w:right="4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2903C8" w:rsidRPr="002903C8" w:rsidRDefault="002903C8" w:rsidP="002903C8">
      <w:pPr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3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90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</w:p>
    <w:p w:rsidR="002903C8" w:rsidRPr="002903C8" w:rsidRDefault="002903C8" w:rsidP="002903C8">
      <w:pPr>
        <w:spacing w:after="0"/>
        <w:ind w:right="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3C8" w:rsidRPr="002903C8" w:rsidRDefault="002903C8" w:rsidP="002903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администраторам бюджетных средств формировать отчетность в точном соответствии с нормативными требованиями Инструкции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 Министерства финансов Российской Федерации от 23 декабря 2010 года № 191н, </w:t>
      </w:r>
      <w:r w:rsidRPr="002903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усилить контроль за качеством отчетной информации, предоставляемой </w:t>
      </w:r>
      <w:r w:rsidRPr="002903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подведомственными учреждениями.</w:t>
      </w:r>
      <w:proofErr w:type="gramEnd"/>
    </w:p>
    <w:p w:rsidR="002903C8" w:rsidRPr="002903C8" w:rsidRDefault="002903C8" w:rsidP="002903C8">
      <w:pPr>
        <w:spacing w:after="0"/>
        <w:ind w:right="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03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Администрации МО «</w:t>
      </w:r>
      <w:proofErr w:type="spellStart"/>
      <w:r w:rsidRPr="002903C8">
        <w:rPr>
          <w:rFonts w:ascii="Times New Roman" w:eastAsia="Calibri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2903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разработать и утвердить стратегию социально-экономического развития муниципального образования «</w:t>
      </w:r>
      <w:proofErr w:type="spellStart"/>
      <w:r w:rsidRPr="002903C8">
        <w:rPr>
          <w:rFonts w:ascii="Times New Roman" w:eastAsia="Calibri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2903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район».</w:t>
      </w:r>
    </w:p>
    <w:p w:rsidR="002903C8" w:rsidRDefault="002903C8" w:rsidP="002903C8">
      <w:pPr>
        <w:spacing w:after="0"/>
        <w:ind w:right="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74499" w:rsidRDefault="00174499" w:rsidP="00174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74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Ербогаченское</w:t>
      </w:r>
      <w:proofErr w:type="spellEnd"/>
      <w:r w:rsidRPr="00174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муниципальное образование</w:t>
      </w:r>
    </w:p>
    <w:p w:rsidR="00174499" w:rsidRDefault="00174499" w:rsidP="00174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069" w:rsidRPr="00790069" w:rsidRDefault="00790069" w:rsidP="00790069">
      <w:pPr>
        <w:widowControl w:val="0"/>
        <w:spacing w:after="0"/>
        <w:ind w:right="111" w:firstLine="2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69">
        <w:rPr>
          <w:rFonts w:ascii="Times New Roman" w:eastAsia="Times New Roman" w:hAnsi="Times New Roman" w:cs="Times New Roman"/>
          <w:sz w:val="28"/>
          <w:szCs w:val="28"/>
        </w:rPr>
        <w:t xml:space="preserve">     В ходе внешней проверки исследованы показатели доходной и расходной части местного бюджета за 2020 год, источники финансирования дефицита местного бюджета. Дана оценка соблюдения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от 28.12.2010 года №191н, осуществлен анализ общих характеристик бюджета поселения, а также полноты и достоверности данных годового отчета.</w:t>
      </w:r>
    </w:p>
    <w:p w:rsidR="00790069" w:rsidRPr="00790069" w:rsidRDefault="00790069" w:rsidP="00790069">
      <w:pPr>
        <w:widowControl w:val="0"/>
        <w:spacing w:before="1" w:after="0"/>
        <w:ind w:right="283" w:firstLine="11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90069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Pr="007900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0069">
        <w:rPr>
          <w:rFonts w:ascii="Times New Roman" w:eastAsia="Times New Roman" w:hAnsi="Times New Roman" w:cs="Times New Roman"/>
          <w:sz w:val="28"/>
          <w:szCs w:val="28"/>
        </w:rPr>
        <w:t>на 2020 г. утвержден по доходам</w:t>
      </w:r>
      <w:r w:rsidRPr="007900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0069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Pr="007900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0069">
        <w:rPr>
          <w:rFonts w:ascii="Times New Roman" w:eastAsia="Times New Roman" w:hAnsi="Times New Roman" w:cs="Times New Roman"/>
          <w:sz w:val="28"/>
          <w:szCs w:val="28"/>
        </w:rPr>
        <w:t>27591,9</w:t>
      </w:r>
      <w:r w:rsidRPr="007900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0069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Pr="00790069">
        <w:rPr>
          <w:rFonts w:ascii="Times New Roman" w:eastAsia="Times New Roman" w:hAnsi="Times New Roman" w:cs="Times New Roman"/>
          <w:spacing w:val="-4"/>
          <w:sz w:val="28"/>
          <w:szCs w:val="28"/>
        </w:rPr>
        <w:t>руб.</w:t>
      </w:r>
      <w:r w:rsidRPr="00790069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790069">
        <w:rPr>
          <w:rFonts w:ascii="Times New Roman" w:eastAsia="Times New Roman" w:hAnsi="Times New Roman" w:cs="Times New Roman"/>
          <w:sz w:val="28"/>
          <w:szCs w:val="28"/>
        </w:rPr>
        <w:t>(в том числе межбюджетные трансферты, получаемые из других бюджетов бюджетной системой РФ в сумме  12279,0 тыс. руб.), по расходам в сумме</w:t>
      </w:r>
      <w:r w:rsidRPr="0079006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900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30086,9 тыс. </w:t>
      </w:r>
      <w:r w:rsidRPr="00790069">
        <w:rPr>
          <w:rFonts w:ascii="Times New Roman" w:eastAsia="Times New Roman" w:hAnsi="Times New Roman" w:cs="Times New Roman"/>
          <w:spacing w:val="-4"/>
          <w:sz w:val="28"/>
          <w:szCs w:val="28"/>
        </w:rPr>
        <w:t>руб.</w:t>
      </w:r>
    </w:p>
    <w:p w:rsidR="00790069" w:rsidRPr="00790069" w:rsidRDefault="00790069" w:rsidP="00790069">
      <w:pPr>
        <w:widowControl w:val="0"/>
        <w:spacing w:after="0"/>
        <w:ind w:right="107" w:firstLine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90069">
        <w:rPr>
          <w:rFonts w:ascii="Times New Roman" w:eastAsia="Times New Roman" w:hAnsi="Times New Roman" w:cs="Times New Roman"/>
          <w:sz w:val="28"/>
          <w:szCs w:val="28"/>
        </w:rPr>
        <w:t xml:space="preserve">Дефицит бюджета утвержден в сумме  2494,9 тыс. руб. Источником финансирования профицита бюджета является изменение остатков средств на счетах бюджета (на 01.01.2020г.) в сумме  2494,9 тыс. </w:t>
      </w:r>
      <w:r w:rsidRPr="00790069">
        <w:rPr>
          <w:rFonts w:ascii="Times New Roman" w:eastAsia="Times New Roman" w:hAnsi="Times New Roman" w:cs="Times New Roman"/>
          <w:spacing w:val="-3"/>
          <w:sz w:val="28"/>
          <w:szCs w:val="28"/>
        </w:rPr>
        <w:t>руб.</w:t>
      </w:r>
    </w:p>
    <w:p w:rsidR="00790069" w:rsidRPr="00790069" w:rsidRDefault="00790069" w:rsidP="00790069">
      <w:pPr>
        <w:widowControl w:val="0"/>
        <w:spacing w:before="3" w:after="0"/>
        <w:ind w:right="99" w:firstLine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69">
        <w:rPr>
          <w:rFonts w:ascii="Times New Roman" w:eastAsia="Times New Roman" w:hAnsi="Times New Roman" w:cs="Times New Roman"/>
          <w:sz w:val="28"/>
          <w:szCs w:val="28"/>
        </w:rPr>
        <w:t>Фактическое поступление по доходам составило</w:t>
      </w:r>
      <w:r w:rsidRPr="007900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0069">
        <w:rPr>
          <w:rFonts w:ascii="Times New Roman" w:eastAsia="Times New Roman" w:hAnsi="Times New Roman" w:cs="Times New Roman"/>
          <w:sz w:val="28"/>
          <w:szCs w:val="28"/>
        </w:rPr>
        <w:t xml:space="preserve">26606,7 тыс. руб. Исполнение расходной части бюджета составляет 26539,1 тыс. руб. Профицит бюджета поселения составляет 67,6 тыс. руб.  </w:t>
      </w:r>
    </w:p>
    <w:p w:rsidR="00790069" w:rsidRPr="00790069" w:rsidRDefault="00790069" w:rsidP="00790069">
      <w:pPr>
        <w:widowControl w:val="0"/>
        <w:spacing w:before="2" w:after="0"/>
        <w:ind w:right="107" w:firstLine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90069">
        <w:rPr>
          <w:rFonts w:ascii="Times New Roman" w:eastAsia="Times New Roman" w:hAnsi="Times New Roman" w:cs="Times New Roman"/>
          <w:sz w:val="28"/>
          <w:szCs w:val="28"/>
        </w:rPr>
        <w:t>Остаток денежных средств на счете муниципального образования по состоянию на 01.01.2020 года составлял 2494,9 тыс. руб., а по состоянию на 01.01.2021 года остаток средств составляет 2562,6 тыс. руб.</w:t>
      </w:r>
    </w:p>
    <w:p w:rsidR="00790069" w:rsidRPr="00790069" w:rsidRDefault="00790069" w:rsidP="007900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9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результате экспертизы годового отчета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9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 исполнении бюджета </w:t>
      </w:r>
      <w:proofErr w:type="spellStart"/>
      <w:r w:rsidRPr="0079006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Ербогаченского</w:t>
      </w:r>
      <w:proofErr w:type="spellEnd"/>
      <w:r w:rsidRPr="0079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установлено, что представленный отчет по основным параметрам является достоверным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069" w:rsidRDefault="00790069" w:rsidP="007900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069" w:rsidRDefault="00790069" w:rsidP="0079006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Преображенское муниципальное образование</w:t>
      </w:r>
    </w:p>
    <w:p w:rsidR="00790069" w:rsidRPr="00790069" w:rsidRDefault="00790069" w:rsidP="0079006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069" w:rsidRPr="00790069" w:rsidRDefault="00790069" w:rsidP="00790069">
      <w:pPr>
        <w:pStyle w:val="a6"/>
        <w:ind w:right="111" w:firstLine="235"/>
        <w:jc w:val="both"/>
        <w:rPr>
          <w:rFonts w:ascii="Times New Roman" w:hAnsi="Times New Roman" w:cs="Times New Roman"/>
          <w:sz w:val="28"/>
          <w:szCs w:val="28"/>
        </w:rPr>
      </w:pPr>
      <w:r w:rsidRPr="0079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90069">
        <w:rPr>
          <w:rFonts w:ascii="Times New Roman" w:hAnsi="Times New Roman" w:cs="Times New Roman"/>
          <w:sz w:val="28"/>
          <w:szCs w:val="28"/>
        </w:rPr>
        <w:t>В ходе внешней проверки исследованы показатели доходной и расходной части местного бюджета за 2020 год, источники финансирования дефицита местного бюджета. Дана оценка соблюдения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от 28.12.2010 года №191н, осуществлен анализ общих характеристик бюджета Преображенского муниципального образования, а также полноты и достоверности данных годового отчета.</w:t>
      </w:r>
    </w:p>
    <w:p w:rsidR="00790069" w:rsidRPr="00790069" w:rsidRDefault="00790069" w:rsidP="00790069">
      <w:pPr>
        <w:spacing w:before="2" w:after="0"/>
        <w:ind w:right="108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90069">
        <w:rPr>
          <w:rFonts w:ascii="Times New Roman" w:eastAsia="Times New Roman" w:hAnsi="Times New Roman" w:cs="Times New Roman"/>
          <w:sz w:val="28"/>
          <w:szCs w:val="28"/>
        </w:rPr>
        <w:t xml:space="preserve">Бюджет Преображенского МО  на 2020 г. утвержден по доходам в сумме  38267,3 тыс. </w:t>
      </w:r>
      <w:r w:rsidRPr="00790069">
        <w:rPr>
          <w:rFonts w:ascii="Times New Roman" w:eastAsia="Times New Roman" w:hAnsi="Times New Roman" w:cs="Times New Roman"/>
          <w:spacing w:val="-4"/>
          <w:sz w:val="28"/>
          <w:szCs w:val="28"/>
        </w:rPr>
        <w:t>руб.</w:t>
      </w:r>
      <w:r w:rsidRPr="00790069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790069">
        <w:rPr>
          <w:rFonts w:ascii="Times New Roman" w:eastAsia="Times New Roman" w:hAnsi="Times New Roman" w:cs="Times New Roman"/>
          <w:sz w:val="28"/>
          <w:szCs w:val="28"/>
        </w:rPr>
        <w:t xml:space="preserve">(в том числе межбюджетные трансферты, получаемые из других бюджетов бюджетной системой РФ в сумме  417,2 тыс. руб.), по расходам в сумме  </w:t>
      </w:r>
      <w:r w:rsidRPr="007900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0069">
        <w:rPr>
          <w:rFonts w:ascii="Times New Roman" w:eastAsia="Times New Roman" w:hAnsi="Times New Roman" w:cs="Times New Roman"/>
          <w:sz w:val="28"/>
          <w:szCs w:val="28"/>
        </w:rPr>
        <w:t>62993,3</w:t>
      </w:r>
      <w:r w:rsidRPr="007900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0069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Pr="00790069">
        <w:rPr>
          <w:rFonts w:ascii="Times New Roman" w:eastAsia="Times New Roman" w:hAnsi="Times New Roman" w:cs="Times New Roman"/>
          <w:spacing w:val="-4"/>
          <w:sz w:val="28"/>
          <w:szCs w:val="28"/>
        </w:rPr>
        <w:t>руб.</w:t>
      </w:r>
    </w:p>
    <w:p w:rsidR="00790069" w:rsidRPr="00790069" w:rsidRDefault="00790069" w:rsidP="00790069">
      <w:pPr>
        <w:widowControl w:val="0"/>
        <w:spacing w:after="0"/>
        <w:ind w:right="10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69">
        <w:rPr>
          <w:rFonts w:ascii="Times New Roman" w:eastAsia="Times New Roman" w:hAnsi="Times New Roman" w:cs="Times New Roman"/>
          <w:sz w:val="28"/>
          <w:szCs w:val="28"/>
        </w:rPr>
        <w:t xml:space="preserve">Дефицит бюджета утвержден в сумме  24726,0 тыс. руб. Источником финансирования дефицита бюджета является изменение остатков средств на счетах бюджета (на 01.01.2020 г.) в сумме 24726,0 тыс. </w:t>
      </w:r>
      <w:r w:rsidRPr="007900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руб. </w:t>
      </w:r>
    </w:p>
    <w:p w:rsidR="00790069" w:rsidRPr="00790069" w:rsidRDefault="00790069" w:rsidP="00790069">
      <w:pPr>
        <w:widowControl w:val="0"/>
        <w:spacing w:before="3" w:after="0" w:line="240" w:lineRule="auto"/>
        <w:ind w:right="99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69">
        <w:rPr>
          <w:rFonts w:ascii="Times New Roman" w:eastAsia="Times New Roman" w:hAnsi="Times New Roman" w:cs="Times New Roman"/>
          <w:sz w:val="28"/>
          <w:szCs w:val="28"/>
        </w:rPr>
        <w:t xml:space="preserve">Фактическое поступление по доходам составило  36525,1 тыс. руб. Исполнение расходной части бюджета составляет </w:t>
      </w:r>
      <w:r w:rsidRPr="007900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0069">
        <w:rPr>
          <w:rFonts w:ascii="Times New Roman" w:eastAsia="Times New Roman" w:hAnsi="Times New Roman" w:cs="Times New Roman"/>
          <w:sz w:val="28"/>
          <w:szCs w:val="28"/>
        </w:rPr>
        <w:t>31779,5</w:t>
      </w:r>
      <w:r w:rsidRPr="007900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0069">
        <w:rPr>
          <w:rFonts w:ascii="Times New Roman" w:eastAsia="Times New Roman" w:hAnsi="Times New Roman" w:cs="Times New Roman"/>
          <w:sz w:val="28"/>
          <w:szCs w:val="28"/>
        </w:rPr>
        <w:t xml:space="preserve">тыс. руб. Профицит бюджета поселения составил   4745,6 тыс. руб. </w:t>
      </w:r>
    </w:p>
    <w:p w:rsidR="00790069" w:rsidRPr="00790069" w:rsidRDefault="00790069" w:rsidP="00790069">
      <w:pPr>
        <w:widowControl w:val="0"/>
        <w:spacing w:before="2" w:after="0" w:line="240" w:lineRule="auto"/>
        <w:ind w:right="10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69">
        <w:rPr>
          <w:rFonts w:ascii="Times New Roman" w:eastAsia="Times New Roman" w:hAnsi="Times New Roman" w:cs="Times New Roman"/>
          <w:sz w:val="28"/>
          <w:szCs w:val="28"/>
        </w:rPr>
        <w:t>Остаток денежных средств на счете муниципального образования по состоянию на 01.01.2020  года составлял  24726,0 тыс. руб., а по состоянию на 01.01.2021 года остаток средств составляет   29471,5 тыс. руб.</w:t>
      </w:r>
    </w:p>
    <w:p w:rsidR="00790069" w:rsidRDefault="00790069" w:rsidP="007900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79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результате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кспертизы годового отчета за 2020</w:t>
      </w:r>
      <w:r w:rsidRPr="0079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 исполнении бюджета Преображенского муниципального образования установлено, что представленный отчет по основным параметрам является достоверным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069" w:rsidRPr="00790069" w:rsidRDefault="00790069" w:rsidP="00790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90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Непское</w:t>
      </w:r>
      <w:proofErr w:type="spellEnd"/>
      <w:r w:rsidRPr="00790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муниципальное образование</w:t>
      </w:r>
    </w:p>
    <w:p w:rsidR="00790069" w:rsidRPr="00790069" w:rsidRDefault="00790069" w:rsidP="0079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069" w:rsidRPr="00790069" w:rsidRDefault="00790069" w:rsidP="00790069">
      <w:pPr>
        <w:widowControl w:val="0"/>
        <w:spacing w:after="0"/>
        <w:ind w:firstLine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0069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внешней проверки исследованы показатели доходной и расходной части местного бюджета за 2020 год, источники финансирования дефицита местного бюджета. Дана оценка соблюдения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от 28.12.2010 года №191н, осуществлен анализ общих характеристик бюджета </w:t>
      </w:r>
      <w:proofErr w:type="spellStart"/>
      <w:r w:rsidRPr="00790069">
        <w:rPr>
          <w:rFonts w:ascii="Times New Roman" w:eastAsia="Times New Roman" w:hAnsi="Times New Roman" w:cs="Times New Roman"/>
          <w:bCs/>
          <w:sz w:val="28"/>
          <w:szCs w:val="28"/>
        </w:rPr>
        <w:t>Непского</w:t>
      </w:r>
      <w:proofErr w:type="spellEnd"/>
      <w:r w:rsidRPr="0079006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образования, а также полноты и достоверности, данных годового отчета.</w:t>
      </w:r>
    </w:p>
    <w:p w:rsidR="00790069" w:rsidRPr="00790069" w:rsidRDefault="00790069" w:rsidP="00790069">
      <w:pPr>
        <w:widowControl w:val="0"/>
        <w:spacing w:after="0"/>
        <w:ind w:firstLine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0069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 </w:t>
      </w:r>
      <w:proofErr w:type="spellStart"/>
      <w:r w:rsidRPr="00790069">
        <w:rPr>
          <w:rFonts w:ascii="Times New Roman" w:eastAsia="Times New Roman" w:hAnsi="Times New Roman" w:cs="Times New Roman"/>
          <w:bCs/>
          <w:sz w:val="28"/>
          <w:szCs w:val="28"/>
        </w:rPr>
        <w:t>Непского</w:t>
      </w:r>
      <w:proofErr w:type="spellEnd"/>
      <w:r w:rsidRPr="00790069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  на 2020 г. утвержден по доходам в сумме  22856,3 тыс. </w:t>
      </w:r>
      <w:r w:rsidRPr="0079006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руб.</w:t>
      </w:r>
      <w:r w:rsidRPr="00790069">
        <w:rPr>
          <w:rFonts w:ascii="Times New Roman" w:eastAsia="Times New Roman" w:hAnsi="Times New Roman" w:cs="Times New Roman"/>
          <w:bCs/>
          <w:spacing w:val="52"/>
          <w:sz w:val="28"/>
          <w:szCs w:val="28"/>
        </w:rPr>
        <w:t xml:space="preserve"> </w:t>
      </w:r>
      <w:r w:rsidRPr="00790069">
        <w:rPr>
          <w:rFonts w:ascii="Times New Roman" w:eastAsia="Times New Roman" w:hAnsi="Times New Roman" w:cs="Times New Roman"/>
          <w:bCs/>
          <w:sz w:val="28"/>
          <w:szCs w:val="28"/>
        </w:rPr>
        <w:t xml:space="preserve">(в том числе межбюджетные трансферты, получаемые из других бюджетов бюджетной системой РФ в сумме 4185,8 тыс. руб.), по расходам в сумме  27921,9 тыс. </w:t>
      </w:r>
      <w:r w:rsidRPr="0079006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руб.</w:t>
      </w:r>
    </w:p>
    <w:p w:rsidR="00790069" w:rsidRPr="00790069" w:rsidRDefault="00790069" w:rsidP="00790069">
      <w:pPr>
        <w:widowControl w:val="0"/>
        <w:spacing w:after="0"/>
        <w:ind w:firstLine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006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Дефицит бюджета утвержден в сумме 5065,5 тыс. руб. Источником финансирования дефицита бюджета является изменение остатков средств на счетах бюджета (на 01.01.2020г.) в сумме 5065,5 тыс. </w:t>
      </w:r>
      <w:r w:rsidRPr="00790069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руб.</w:t>
      </w:r>
    </w:p>
    <w:p w:rsidR="00790069" w:rsidRPr="00790069" w:rsidRDefault="00790069" w:rsidP="00790069">
      <w:pPr>
        <w:widowControl w:val="0"/>
        <w:spacing w:after="0"/>
        <w:ind w:firstLine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006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Фактическое поступление по доходам составило 23653,2 тыс. руб. Исполнение расходной части бюджета составляет 14126,7 тыс. руб. Профицит бюджета поселения составил  9526,5 тыс. руб. </w:t>
      </w:r>
    </w:p>
    <w:p w:rsidR="00790069" w:rsidRPr="00790069" w:rsidRDefault="00790069" w:rsidP="00790069">
      <w:pPr>
        <w:widowControl w:val="0"/>
        <w:spacing w:after="0"/>
        <w:ind w:firstLine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0069">
        <w:rPr>
          <w:rFonts w:ascii="Times New Roman" w:eastAsia="Times New Roman" w:hAnsi="Times New Roman" w:cs="Times New Roman"/>
          <w:bCs/>
          <w:sz w:val="28"/>
          <w:szCs w:val="28"/>
        </w:rPr>
        <w:tab/>
        <w:t>Остаток денежных средств на счете муниципального образования по состоянию на 01.01.2020 года составил  5065,5 тыс. руб., а по состоянию на 01.01.2021 года остаток средств составляет  14592,0 тыс. руб.</w:t>
      </w:r>
    </w:p>
    <w:p w:rsidR="00790069" w:rsidRPr="00790069" w:rsidRDefault="00790069" w:rsidP="007900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900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экспертизы годового отчета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9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 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Непского</w:t>
      </w:r>
      <w:proofErr w:type="spellEnd"/>
      <w:r w:rsidRPr="0079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установлено, что представленный отчет по основным параметрам является достоверным</w:t>
      </w:r>
      <w:r w:rsidR="00CB4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8FF" w:rsidRPr="00CB48FF" w:rsidRDefault="00CB48FF" w:rsidP="00CB48FF">
      <w:pPr>
        <w:spacing w:after="120"/>
        <w:ind w:right="13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B4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Подволошинское</w:t>
      </w:r>
      <w:proofErr w:type="spellEnd"/>
      <w:r w:rsidRPr="00CB4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муниципальное образование</w:t>
      </w:r>
    </w:p>
    <w:p w:rsidR="00CB48FF" w:rsidRDefault="00CB48FF" w:rsidP="00CB48FF">
      <w:pPr>
        <w:widowControl w:val="0"/>
        <w:spacing w:after="0"/>
        <w:ind w:right="11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8FF">
        <w:rPr>
          <w:rFonts w:ascii="Times New Roman" w:eastAsia="Times New Roman" w:hAnsi="Times New Roman" w:cs="Times New Roman"/>
          <w:sz w:val="28"/>
          <w:szCs w:val="28"/>
        </w:rPr>
        <w:t xml:space="preserve">В ходе внешней проверки исследованы показатели доходной и расходной части местного бюджета за 2020 год, источники финансирования дефицита местного бюджета. Дана оценка соблюдения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от 28.12.2010 года №191н, осуществлен анализ общих характеристик бюджета </w:t>
      </w:r>
      <w:proofErr w:type="spellStart"/>
      <w:r w:rsidRPr="00CB48FF">
        <w:rPr>
          <w:rFonts w:ascii="Times New Roman" w:eastAsia="Times New Roman" w:hAnsi="Times New Roman" w:cs="Times New Roman"/>
          <w:sz w:val="28"/>
          <w:szCs w:val="28"/>
        </w:rPr>
        <w:t>Подволошинского</w:t>
      </w:r>
      <w:proofErr w:type="spellEnd"/>
      <w:r w:rsidRPr="00CB48F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а также полноты и достоверности данных годового отчета.</w:t>
      </w:r>
    </w:p>
    <w:p w:rsidR="00CB48FF" w:rsidRPr="00CB48FF" w:rsidRDefault="00CB48FF" w:rsidP="00CB48FF">
      <w:pPr>
        <w:widowControl w:val="0"/>
        <w:spacing w:before="2" w:after="0" w:line="240" w:lineRule="auto"/>
        <w:ind w:right="108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48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Бюджет </w:t>
      </w:r>
      <w:proofErr w:type="spellStart"/>
      <w:r w:rsidRPr="00CB48FF">
        <w:rPr>
          <w:rFonts w:ascii="Times New Roman" w:eastAsia="Times New Roman" w:hAnsi="Times New Roman" w:cs="Times New Roman"/>
          <w:sz w:val="28"/>
          <w:szCs w:val="28"/>
        </w:rPr>
        <w:t>Подволошинского</w:t>
      </w:r>
      <w:proofErr w:type="spellEnd"/>
      <w:r w:rsidRPr="00CB48FF">
        <w:rPr>
          <w:rFonts w:ascii="Times New Roman" w:eastAsia="Times New Roman" w:hAnsi="Times New Roman" w:cs="Times New Roman"/>
          <w:sz w:val="28"/>
          <w:szCs w:val="28"/>
        </w:rPr>
        <w:t xml:space="preserve"> МО  на 2020 г. утвержден по доходам в сумме   9667,4 тыс. </w:t>
      </w:r>
      <w:r w:rsidRPr="00CB48FF">
        <w:rPr>
          <w:rFonts w:ascii="Times New Roman" w:eastAsia="Times New Roman" w:hAnsi="Times New Roman" w:cs="Times New Roman"/>
          <w:spacing w:val="-4"/>
          <w:sz w:val="28"/>
          <w:szCs w:val="28"/>
        </w:rPr>
        <w:t>руб.</w:t>
      </w:r>
      <w:r w:rsidRPr="00CB48FF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CB48FF">
        <w:rPr>
          <w:rFonts w:ascii="Times New Roman" w:eastAsia="Times New Roman" w:hAnsi="Times New Roman" w:cs="Times New Roman"/>
          <w:sz w:val="28"/>
          <w:szCs w:val="28"/>
        </w:rPr>
        <w:t>(в том числе межбюджетные трансферты, получаемые из других бюджетов бюджетной системой РФ в сумме  8547,1  тыс. руб.), по расходам в сумме  17977,7</w:t>
      </w:r>
      <w:r w:rsidRPr="00CB48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48FF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Pr="00CB48F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руб. </w:t>
      </w:r>
      <w:r w:rsidRPr="00CB48FF">
        <w:rPr>
          <w:rFonts w:ascii="Times New Roman" w:eastAsia="Times New Roman" w:hAnsi="Times New Roman" w:cs="Times New Roman"/>
          <w:sz w:val="28"/>
          <w:szCs w:val="28"/>
        </w:rPr>
        <w:t>Дефицит бюджета утвержден в сумме  8310,4 тыс. руб. Источником финансирования дефицита бюджета является изменение остатков средств на счетах бюджета (на 01.01.2020г</w:t>
      </w:r>
      <w:proofErr w:type="gramEnd"/>
      <w:r w:rsidRPr="00CB48FF">
        <w:rPr>
          <w:rFonts w:ascii="Times New Roman" w:eastAsia="Times New Roman" w:hAnsi="Times New Roman" w:cs="Times New Roman"/>
          <w:sz w:val="28"/>
          <w:szCs w:val="28"/>
        </w:rPr>
        <w:t xml:space="preserve">.) в сумме 8310,4 тыс. </w:t>
      </w:r>
      <w:r w:rsidRPr="00CB48FF">
        <w:rPr>
          <w:rFonts w:ascii="Times New Roman" w:eastAsia="Times New Roman" w:hAnsi="Times New Roman" w:cs="Times New Roman"/>
          <w:spacing w:val="-3"/>
          <w:sz w:val="28"/>
          <w:szCs w:val="28"/>
        </w:rPr>
        <w:t>руб.</w:t>
      </w:r>
    </w:p>
    <w:p w:rsidR="00CB48FF" w:rsidRPr="00CB48FF" w:rsidRDefault="00CB48FF" w:rsidP="00CB48FF">
      <w:pPr>
        <w:widowControl w:val="0"/>
        <w:spacing w:before="3" w:after="0" w:line="240" w:lineRule="auto"/>
        <w:ind w:right="99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8FF">
        <w:rPr>
          <w:rFonts w:ascii="Times New Roman" w:eastAsia="Times New Roman" w:hAnsi="Times New Roman" w:cs="Times New Roman"/>
          <w:sz w:val="28"/>
          <w:szCs w:val="28"/>
        </w:rPr>
        <w:t>Фактическое поступление  доходов в 2020 году составило 9608,6 тыс. руб. Исполнение расходной части бюджета составило 16852,7</w:t>
      </w:r>
      <w:r w:rsidRPr="00CB48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48FF">
        <w:rPr>
          <w:rFonts w:ascii="Times New Roman" w:eastAsia="Times New Roman" w:hAnsi="Times New Roman" w:cs="Times New Roman"/>
          <w:sz w:val="28"/>
          <w:szCs w:val="28"/>
        </w:rPr>
        <w:t xml:space="preserve">тыс. руб. Дефицит бюджета поселения составляет  7244,2 тыс. руб. </w:t>
      </w:r>
    </w:p>
    <w:p w:rsidR="00CB48FF" w:rsidRPr="00CB48FF" w:rsidRDefault="00CB48FF" w:rsidP="00CB48FF">
      <w:pPr>
        <w:widowControl w:val="0"/>
        <w:spacing w:before="2" w:after="0" w:line="240" w:lineRule="auto"/>
        <w:ind w:right="10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8FF">
        <w:rPr>
          <w:rFonts w:ascii="Times New Roman" w:eastAsia="Times New Roman" w:hAnsi="Times New Roman" w:cs="Times New Roman"/>
          <w:sz w:val="28"/>
          <w:szCs w:val="28"/>
        </w:rPr>
        <w:t>Остаток денежных средств на счете муниципального образования по состоянию на 01.01.2020 года составляет  8310,4 тыс. руб., а по состоянию на 01.01.2021 года остаток средств составляет  1066,2 тыс. руб.</w:t>
      </w:r>
    </w:p>
    <w:p w:rsidR="00CB48FF" w:rsidRPr="00790069" w:rsidRDefault="00CB48FF" w:rsidP="00CB48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900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экспертизы годового отчета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9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 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Подволошинского</w:t>
      </w:r>
      <w:proofErr w:type="spellEnd"/>
      <w:r w:rsidRPr="0079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установлено, что представленный отчет по основным параметрам является достоверным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CB48FF" w:rsidRPr="00CB48FF" w:rsidRDefault="00CB48FF" w:rsidP="00CB48FF">
      <w:pPr>
        <w:widowControl w:val="0"/>
        <w:spacing w:after="0"/>
        <w:ind w:right="11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069" w:rsidRPr="00790069" w:rsidRDefault="00790069" w:rsidP="00CB48FF">
      <w:pPr>
        <w:spacing w:after="120"/>
        <w:ind w:right="13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069" w:rsidRPr="00790069" w:rsidRDefault="00790069" w:rsidP="00790069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069" w:rsidRDefault="00790069" w:rsidP="007900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90069" w:rsidRPr="00790069" w:rsidRDefault="00790069" w:rsidP="007900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069" w:rsidRPr="00174499" w:rsidRDefault="00790069" w:rsidP="00790069">
      <w:pPr>
        <w:spacing w:after="0"/>
        <w:ind w:firstLine="1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499" w:rsidRPr="002903C8" w:rsidRDefault="00174499" w:rsidP="00790069">
      <w:pPr>
        <w:spacing w:after="0"/>
        <w:ind w:right="4" w:firstLine="1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3C8" w:rsidRPr="002903C8" w:rsidRDefault="002903C8" w:rsidP="00790069">
      <w:pPr>
        <w:spacing w:after="0"/>
        <w:ind w:right="4" w:firstLine="1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3C8" w:rsidRPr="00164CAA" w:rsidRDefault="002903C8" w:rsidP="00790069">
      <w:pPr>
        <w:spacing w:after="0" w:line="240" w:lineRule="auto"/>
        <w:ind w:firstLine="11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</w:pPr>
    </w:p>
    <w:p w:rsidR="00D02A4F" w:rsidRPr="00790069" w:rsidRDefault="00D02A4F" w:rsidP="00790069">
      <w:pPr>
        <w:spacing w:after="0"/>
        <w:ind w:firstLine="116"/>
        <w:jc w:val="both"/>
        <w:rPr>
          <w:color w:val="0D0D0D" w:themeColor="text1" w:themeTint="F2"/>
          <w:sz w:val="28"/>
          <w:szCs w:val="28"/>
        </w:rPr>
      </w:pPr>
    </w:p>
    <w:sectPr w:rsidR="00D02A4F" w:rsidRPr="00790069" w:rsidSect="00FE480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60F4"/>
    <w:multiLevelType w:val="hybridMultilevel"/>
    <w:tmpl w:val="24866FB8"/>
    <w:lvl w:ilvl="0" w:tplc="ED6865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A1D5EF7"/>
    <w:multiLevelType w:val="hybridMultilevel"/>
    <w:tmpl w:val="9E56CE8E"/>
    <w:lvl w:ilvl="0" w:tplc="78C6D75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11"/>
    <w:rsid w:val="000348F8"/>
    <w:rsid w:val="00127D51"/>
    <w:rsid w:val="00154427"/>
    <w:rsid w:val="00164CAA"/>
    <w:rsid w:val="00174499"/>
    <w:rsid w:val="001A51F0"/>
    <w:rsid w:val="001E014C"/>
    <w:rsid w:val="00216C8E"/>
    <w:rsid w:val="00217C87"/>
    <w:rsid w:val="002214D0"/>
    <w:rsid w:val="00271DA9"/>
    <w:rsid w:val="00290388"/>
    <w:rsid w:val="002903C8"/>
    <w:rsid w:val="002C66A1"/>
    <w:rsid w:val="002D7294"/>
    <w:rsid w:val="002D7878"/>
    <w:rsid w:val="003546A3"/>
    <w:rsid w:val="003C09BA"/>
    <w:rsid w:val="003F3E9E"/>
    <w:rsid w:val="00405BFF"/>
    <w:rsid w:val="00456785"/>
    <w:rsid w:val="00466015"/>
    <w:rsid w:val="004D35BF"/>
    <w:rsid w:val="00542F4D"/>
    <w:rsid w:val="00587DC7"/>
    <w:rsid w:val="005B5D37"/>
    <w:rsid w:val="005E1C4E"/>
    <w:rsid w:val="005F7430"/>
    <w:rsid w:val="00633397"/>
    <w:rsid w:val="00634CA0"/>
    <w:rsid w:val="00655292"/>
    <w:rsid w:val="006729A5"/>
    <w:rsid w:val="00675777"/>
    <w:rsid w:val="006B48DD"/>
    <w:rsid w:val="006B6C31"/>
    <w:rsid w:val="007134C3"/>
    <w:rsid w:val="00717A30"/>
    <w:rsid w:val="00760F97"/>
    <w:rsid w:val="007817E0"/>
    <w:rsid w:val="00790069"/>
    <w:rsid w:val="00833E47"/>
    <w:rsid w:val="00896F94"/>
    <w:rsid w:val="00921A27"/>
    <w:rsid w:val="00946999"/>
    <w:rsid w:val="00946C99"/>
    <w:rsid w:val="00997296"/>
    <w:rsid w:val="009A2FE7"/>
    <w:rsid w:val="009D3D15"/>
    <w:rsid w:val="00A93483"/>
    <w:rsid w:val="00AF02E0"/>
    <w:rsid w:val="00B24218"/>
    <w:rsid w:val="00B44D9D"/>
    <w:rsid w:val="00B52F9B"/>
    <w:rsid w:val="00B556AF"/>
    <w:rsid w:val="00C85FF8"/>
    <w:rsid w:val="00CB48FF"/>
    <w:rsid w:val="00D02A4F"/>
    <w:rsid w:val="00D63031"/>
    <w:rsid w:val="00DD3DF2"/>
    <w:rsid w:val="00DD7AA4"/>
    <w:rsid w:val="00E202B2"/>
    <w:rsid w:val="00E33B72"/>
    <w:rsid w:val="00EC1B11"/>
    <w:rsid w:val="00EC6ABD"/>
    <w:rsid w:val="00ED421D"/>
    <w:rsid w:val="00F44082"/>
    <w:rsid w:val="00FE4807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E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E1C4E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9006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90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E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E1C4E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9006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90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0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finansy.ru/" TargetMode="External"/><Relationship Id="rId12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3357</Words>
  <Characters>19136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5</cp:revision>
  <cp:lastPrinted>2021-04-22T07:12:00Z</cp:lastPrinted>
  <dcterms:created xsi:type="dcterms:W3CDTF">2021-05-26T02:10:00Z</dcterms:created>
  <dcterms:modified xsi:type="dcterms:W3CDTF">2021-05-26T02:28:00Z</dcterms:modified>
</cp:coreProperties>
</file>